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B6" w:rsidRDefault="00902C0B" w:rsidP="001452B6">
      <w:pPr>
        <w:pStyle w:val="TextBody"/>
        <w:spacing w:after="0"/>
        <w:ind w:firstLine="708"/>
        <w:jc w:val="both"/>
        <w:rPr>
          <w:rFonts w:ascii=";" w:hAnsi=";"/>
          <w:color w:val="111111"/>
        </w:rPr>
      </w:pPr>
      <w:r>
        <w:rPr>
          <w:rFonts w:ascii=";" w:hAnsi=";"/>
          <w:color w:val="111111"/>
        </w:rPr>
        <w:tab/>
        <w:t xml:space="preserve">                   Формы проявления коррупции </w:t>
      </w:r>
    </w:p>
    <w:p w:rsidR="001452B6" w:rsidRPr="001452B6" w:rsidRDefault="001452B6" w:rsidP="001452B6">
      <w:pPr>
        <w:pStyle w:val="TextBody"/>
        <w:spacing w:after="0"/>
        <w:ind w:firstLine="708"/>
        <w:jc w:val="both"/>
        <w:rPr>
          <w:rStyle w:val="StrongEmphasis"/>
          <w:b w:val="0"/>
        </w:rPr>
      </w:pPr>
      <w:r w:rsidRPr="001452B6">
        <w:rPr>
          <w:rStyle w:val="StrongEmphasis"/>
          <w:rFonts w:ascii=";" w:hAnsi=";"/>
          <w:b w:val="0"/>
          <w:color w:val="111111"/>
        </w:rPr>
        <w:t>В Республике Беларусь созданы и на практике реализованы механизмы государственной антикоррупционной политики, доказавшие свою эффективность.</w:t>
      </w:r>
    </w:p>
    <w:p w:rsidR="001452B6" w:rsidRPr="001452B6" w:rsidRDefault="001452B6" w:rsidP="001452B6">
      <w:pPr>
        <w:pStyle w:val="TextBody"/>
        <w:spacing w:after="0"/>
        <w:ind w:firstLine="708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 xml:space="preserve">Этот вопрос находится под постоянным личным контролем Президента Республики Беларусь </w:t>
      </w:r>
      <w:proofErr w:type="spellStart"/>
      <w:r w:rsidRPr="001452B6">
        <w:rPr>
          <w:rFonts w:ascii=";" w:hAnsi=";"/>
          <w:color w:val="111111"/>
        </w:rPr>
        <w:t>А.Г.Лукашенко</w:t>
      </w:r>
      <w:proofErr w:type="spellEnd"/>
      <w:r w:rsidRPr="001452B6">
        <w:rPr>
          <w:rFonts w:ascii=";" w:hAnsi=";"/>
          <w:color w:val="111111"/>
        </w:rPr>
        <w:t xml:space="preserve">. 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   </w:t>
      </w:r>
      <w:r w:rsidRPr="001452B6">
        <w:rPr>
          <w:rFonts w:ascii=";" w:hAnsi=";"/>
          <w:color w:val="111111"/>
        </w:rPr>
        <w:t>Формами проявления коррупции являются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взяточничество; вымогательство; протекционизм; лоббизм; незаконное распределение общественных ресурсов; незаконная приватизация; необоснованное предоставление льготных кредитов и заказов; незаконное финансирование политических партий и общественных организаций, др.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    </w:t>
      </w:r>
      <w:r w:rsidRPr="001452B6">
        <w:rPr>
          <w:rFonts w:ascii=";" w:hAnsi=";"/>
          <w:color w:val="111111"/>
        </w:rPr>
        <w:t>Система организации борьбы с коррупцией включает:  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Symbol"/>
          <w:color w:val="111111"/>
        </w:rPr>
        <w:t>     </w:t>
      </w:r>
      <w:r w:rsidRPr="001452B6">
        <w:rPr>
          <w:rFonts w:ascii=";" w:hAnsi=";"/>
          <w:color w:val="111111"/>
        </w:rPr>
        <w:t>антикоррупционную нормативно правовую базу и механизм ее выполнения; разграничение функций госорганов, зон ответственности и организация их взаимодействия по противодействию коррупции;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  </w:t>
      </w:r>
      <w:r w:rsidRPr="001452B6">
        <w:rPr>
          <w:rFonts w:ascii=";" w:hAnsi=";"/>
          <w:color w:val="111111"/>
        </w:rPr>
        <w:t>деятельность специальных подразделений по борьбе с коррупцией;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  </w:t>
      </w:r>
      <w:r w:rsidRPr="001452B6">
        <w:rPr>
          <w:rFonts w:ascii=";" w:hAnsi=";"/>
          <w:color w:val="111111"/>
        </w:rPr>
        <w:t>образование на различных уровнях комиссий, координационных советов и совещаний по борьбе с преступностью и коррупцией; специальных информационно- аналитических и криминалистических центров;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  </w:t>
      </w:r>
      <w:r w:rsidRPr="001452B6">
        <w:rPr>
          <w:rFonts w:ascii=";" w:hAnsi=";"/>
          <w:color w:val="111111"/>
        </w:rPr>
        <w:t>научное сопровождение деятельности государственных органов по борьбе с коррупцией;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   </w:t>
      </w:r>
      <w:r w:rsidRPr="001452B6">
        <w:rPr>
          <w:rFonts w:ascii=";" w:hAnsi=";"/>
          <w:color w:val="111111"/>
        </w:rPr>
        <w:t>использование государственных СМИ, активное вовлечение граждан, общественных организаций и трудовых коллективов в деятельность по противодействию коррупции.</w:t>
      </w:r>
    </w:p>
    <w:p w:rsidR="001452B6" w:rsidRPr="001452B6" w:rsidRDefault="001452B6" w:rsidP="001452B6">
      <w:pPr>
        <w:pStyle w:val="TextBody"/>
        <w:spacing w:after="0"/>
        <w:jc w:val="both"/>
        <w:rPr>
          <w:rStyle w:val="StrongEmphasis"/>
        </w:rPr>
      </w:pPr>
      <w:r w:rsidRPr="001452B6">
        <w:rPr>
          <w:rStyle w:val="StrongEmphasis"/>
          <w:color w:val="111111"/>
        </w:rPr>
        <w:t>   </w:t>
      </w:r>
      <w:r w:rsidRPr="001452B6">
        <w:rPr>
          <w:rStyle w:val="StrongEmphasis"/>
          <w:rFonts w:ascii=";" w:hAnsi=";"/>
          <w:color w:val="111111"/>
        </w:rPr>
        <w:t>В Законе о борьбе с коррупцией:</w:t>
      </w:r>
    </w:p>
    <w:p w:rsidR="001452B6" w:rsidRPr="001452B6" w:rsidRDefault="001452B6" w:rsidP="001452B6">
      <w:pPr>
        <w:pStyle w:val="TextBody"/>
        <w:spacing w:after="0"/>
        <w:jc w:val="both"/>
      </w:pPr>
      <w:r w:rsidRPr="001452B6">
        <w:rPr>
          <w:rFonts w:ascii=";" w:hAnsi=";"/>
          <w:color w:val="111111"/>
        </w:rPr>
        <w:t>установлены антикоррупционные ограничения и запреты для государственных должностных и приравненных к ним лиц;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регламентирован порядок урегулирования конфликта интересов;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Ответственность за правонарушения, создающие условия для коррупции, и коррупционные правонарушения устанавливается Кодексом Республики Беларусь об административных правонарушениях (далее – КоАП), Уголовным кодексом Республики Беларусь (далее – УК) и иными актами законодательства.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Антикоррупционное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Статья 4 Закона «О борьбе с коррупцией» гласит: борьба с коррупцией основывается на принципах законности, справедливости, равенства перед законом, гласности, неотвратимости ответственности, личной виновной ответственности и гуманизма. С целью обеспечения сосредоточения усилий в право-предупредительной работе по предотвращению коррупционных действий в Законе (статья 21) определен конкретный перечень коррупционных правонарушений.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К ним относятся: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1. Хищение путем злоупотребления служебными полномочиями (ст. 210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lastRenderedPageBreak/>
        <w:t>2. Контрабанда, совершенная должностным лицом с использованием своих служебных полномочий (ч. 3 ст. 228 УК).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3. Легализация («отмывание») материальных ценностей, приобретенных преступным путем, совершенная должностным лицом с использованием своих служебных полномочий (ч. 2 и ч. 3 ст. 235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4. Финансирование террористической деятельности, совершенное должностным лицом с использованием своих служебных полномочий (ч. 2 ст. 290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5. Злоупотребление властью или служебными полномочиями из корыстной или иной личной заинтересованности (ч. 2 и ч. 3 ст. 424 УК).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6. Бездействие должностного лица из корыстной или иной личной заинтересованности (ч. 2 и ч. 3 ст. 425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7.. Превышение власти или служебных полномочий, совершенное из корыстной или иной личной заинтересованности (ч. 2 и ч. 3 ст. 426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8. Служебный подлог (ст. 427 УК).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9. Незаконное участие в предпринимательской деятельности (ст.429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10. Получение взятки (ст. 430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11. Дача взятки (ст. 431 УК). 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12. Посредничество во взятке (ст.432 УК).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>13. Получение незаконного вознаграждения работниками государственного органа либо иной государственной организации (ст. 433).</w:t>
      </w:r>
    </w:p>
    <w:p w:rsidR="001452B6" w:rsidRPr="001452B6" w:rsidRDefault="001452B6" w:rsidP="001452B6">
      <w:pPr>
        <w:pStyle w:val="TextBody"/>
        <w:spacing w:after="0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14. Злоупотребление властью, превышение власти либо бездействие власти, совершенные из корыстной или иной личной заинтересованности (ст. 455 УК).</w:t>
      </w:r>
    </w:p>
    <w:p w:rsidR="001452B6" w:rsidRPr="001452B6" w:rsidRDefault="001452B6" w:rsidP="001452B6">
      <w:pPr>
        <w:pStyle w:val="TextBody"/>
        <w:ind w:firstLine="708"/>
        <w:jc w:val="both"/>
        <w:rPr>
          <w:rStyle w:val="StrongEmphasis"/>
        </w:rPr>
      </w:pPr>
      <w:r w:rsidRPr="001452B6">
        <w:rPr>
          <w:color w:val="111111"/>
        </w:rPr>
        <w:t> </w:t>
      </w:r>
      <w:r w:rsidRPr="001452B6">
        <w:rPr>
          <w:rFonts w:ascii=";" w:hAnsi=";"/>
          <w:color w:val="111111"/>
        </w:rPr>
        <w:t xml:space="preserve">Хотелось бы сегодня напомнить </w:t>
      </w:r>
      <w:r w:rsidR="00DF5142" w:rsidRPr="001452B6">
        <w:rPr>
          <w:rFonts w:ascii=";" w:hAnsi=";"/>
          <w:color w:val="111111"/>
        </w:rPr>
        <w:t>об ответственности</w:t>
      </w:r>
      <w:r w:rsidRPr="001452B6">
        <w:rPr>
          <w:rStyle w:val="StrongEmphasis"/>
          <w:rFonts w:ascii=";" w:hAnsi=";"/>
          <w:color w:val="111111"/>
        </w:rPr>
        <w:t xml:space="preserve"> работников за несоблюдение требований антикоррупционной политики:</w:t>
      </w:r>
    </w:p>
    <w:p w:rsidR="001452B6" w:rsidRPr="001452B6" w:rsidRDefault="001452B6" w:rsidP="001452B6">
      <w:pPr>
        <w:pStyle w:val="TextBody"/>
        <w:jc w:val="both"/>
      </w:pPr>
      <w:r w:rsidRPr="001452B6">
        <w:rPr>
          <w:rFonts w:ascii="Tahoma;Arial;sans-serif" w:hAnsi="Tahoma;Arial;sans-serif"/>
          <w:color w:val="111111"/>
        </w:rPr>
        <w:t> </w:t>
      </w:r>
      <w:r>
        <w:rPr>
          <w:rFonts w:ascii="Tahoma;Arial;sans-serif" w:hAnsi="Tahoma;Arial;sans-serif"/>
          <w:color w:val="111111"/>
        </w:rPr>
        <w:tab/>
      </w:r>
      <w:r w:rsidRPr="001452B6">
        <w:rPr>
          <w:rFonts w:ascii=";" w:hAnsi=";"/>
          <w:color w:val="111111"/>
        </w:rPr>
        <w:t>работники несут уголовную, административную и дисциплинарную ответственность за несоблюдение антикоррупционного законодательства в соответствии с законодательством Республики Беларусь</w:t>
      </w:r>
    </w:p>
    <w:p w:rsidR="001452B6" w:rsidRDefault="001452B6" w:rsidP="001452B6">
      <w:pPr>
        <w:pStyle w:val="TextBody"/>
        <w:ind w:firstLine="708"/>
        <w:jc w:val="both"/>
        <w:rPr>
          <w:rFonts w:ascii=";" w:hAnsi=";"/>
          <w:color w:val="111111"/>
        </w:rPr>
      </w:pPr>
      <w:r w:rsidRPr="001452B6">
        <w:rPr>
          <w:rFonts w:ascii=";" w:hAnsi=";"/>
          <w:color w:val="111111"/>
        </w:rPr>
        <w:t>наниматель вправе применить к работнику меры дисциплинарного взыскания, включая увольнение, при наличии оснований, предусмотренных Т</w:t>
      </w:r>
      <w:r w:rsidR="00902C0B">
        <w:rPr>
          <w:rFonts w:ascii=";" w:hAnsi=";"/>
          <w:color w:val="111111"/>
        </w:rPr>
        <w:t>рудовым кодексом Республики Беларусь</w:t>
      </w:r>
      <w:r w:rsidRPr="001452B6">
        <w:rPr>
          <w:rFonts w:ascii=";" w:hAnsi=";"/>
          <w:color w:val="111111"/>
        </w:rPr>
        <w:t>, за совершения неправомерных действий, повлекших неисполнение возложенных на него трудовых обязанностей.</w:t>
      </w:r>
    </w:p>
    <w:p w:rsidR="00902C0B" w:rsidRDefault="00DF5142" w:rsidP="00DF5142">
      <w:pPr>
        <w:pStyle w:val="TextBody"/>
        <w:spacing w:after="0"/>
        <w:ind w:left="142"/>
        <w:jc w:val="both"/>
        <w:rPr>
          <w:rFonts w:ascii=";" w:hAnsi=";"/>
          <w:color w:val="111111"/>
        </w:rPr>
      </w:pPr>
      <w:r>
        <w:rPr>
          <w:rFonts w:ascii=";" w:hAnsi=";"/>
          <w:color w:val="111111"/>
        </w:rPr>
        <w:t xml:space="preserve"> 2</w:t>
      </w:r>
      <w:r w:rsidR="00F40424">
        <w:rPr>
          <w:rFonts w:ascii=";" w:hAnsi=";"/>
          <w:color w:val="111111"/>
        </w:rPr>
        <w:t>5</w:t>
      </w:r>
      <w:bookmarkStart w:id="0" w:name="_GoBack"/>
      <w:bookmarkEnd w:id="0"/>
      <w:r>
        <w:rPr>
          <w:rFonts w:ascii=";" w:hAnsi=";"/>
          <w:color w:val="111111"/>
        </w:rPr>
        <w:t>.0</w:t>
      </w:r>
      <w:r w:rsidR="00F40424">
        <w:rPr>
          <w:rFonts w:ascii=";" w:hAnsi=";"/>
          <w:color w:val="111111"/>
        </w:rPr>
        <w:t>3</w:t>
      </w:r>
      <w:r>
        <w:rPr>
          <w:rFonts w:ascii=";" w:hAnsi=";"/>
          <w:color w:val="111111"/>
        </w:rPr>
        <w:t>.202</w:t>
      </w:r>
      <w:r w:rsidR="00F40424">
        <w:rPr>
          <w:rFonts w:ascii=";" w:hAnsi=";"/>
          <w:color w:val="111111"/>
        </w:rPr>
        <w:t>5</w:t>
      </w:r>
      <w:r>
        <w:rPr>
          <w:rFonts w:ascii=";" w:hAnsi=";"/>
          <w:color w:val="111111"/>
        </w:rPr>
        <w:t xml:space="preserve">                                                                            </w:t>
      </w:r>
      <w:r w:rsidR="00902C0B">
        <w:rPr>
          <w:rFonts w:ascii=";" w:hAnsi=";"/>
          <w:color w:val="111111"/>
        </w:rPr>
        <w:t>Заместител</w:t>
      </w:r>
      <w:r w:rsidR="00902C0B">
        <w:rPr>
          <w:rFonts w:ascii=";" w:hAnsi=";" w:hint="eastAsia"/>
          <w:color w:val="111111"/>
        </w:rPr>
        <w:t>ь</w:t>
      </w:r>
      <w:r w:rsidR="00902C0B">
        <w:rPr>
          <w:rFonts w:ascii=";" w:hAnsi=";"/>
          <w:color w:val="111111"/>
        </w:rPr>
        <w:t xml:space="preserve"> прокурора района</w:t>
      </w:r>
    </w:p>
    <w:p w:rsidR="00902C0B" w:rsidRPr="001452B6" w:rsidRDefault="00DF5142" w:rsidP="00902C0B">
      <w:pPr>
        <w:pStyle w:val="TextBody"/>
        <w:spacing w:after="0"/>
        <w:ind w:left="4820"/>
        <w:jc w:val="both"/>
        <w:rPr>
          <w:rFonts w:ascii=";" w:hAnsi=";"/>
          <w:color w:val="111111"/>
        </w:rPr>
      </w:pPr>
      <w:r>
        <w:rPr>
          <w:rFonts w:ascii=";" w:hAnsi=";"/>
          <w:color w:val="111111"/>
        </w:rPr>
        <w:t xml:space="preserve">                 </w:t>
      </w:r>
      <w:proofErr w:type="spellStart"/>
      <w:r w:rsidR="00902C0B">
        <w:rPr>
          <w:rFonts w:ascii=";" w:hAnsi=";"/>
          <w:color w:val="111111"/>
        </w:rPr>
        <w:t>А.Святский</w:t>
      </w:r>
      <w:proofErr w:type="spellEnd"/>
    </w:p>
    <w:sectPr w:rsidR="00902C0B" w:rsidRPr="00145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Tahoma;Arial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CBA"/>
    <w:multiLevelType w:val="multilevel"/>
    <w:tmpl w:val="F28EC4A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147E6BD6"/>
    <w:multiLevelType w:val="multilevel"/>
    <w:tmpl w:val="6332FFD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54476921"/>
    <w:multiLevelType w:val="multilevel"/>
    <w:tmpl w:val="D808260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6EB616D8"/>
    <w:multiLevelType w:val="multilevel"/>
    <w:tmpl w:val="231EC1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E4"/>
    <w:rsid w:val="001452B6"/>
    <w:rsid w:val="00902C0B"/>
    <w:rsid w:val="00B35208"/>
    <w:rsid w:val="00DF5142"/>
    <w:rsid w:val="00EE67E4"/>
    <w:rsid w:val="00F4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C1381"/>
  <w15:chartTrackingRefBased/>
  <w15:docId w15:val="{7873D85C-AE16-4454-BB1B-172A32A2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1452B6"/>
    <w:pPr>
      <w:keepNext/>
      <w:suppressAutoHyphens/>
      <w:spacing w:before="240" w:after="120" w:line="240" w:lineRule="auto"/>
      <w:outlineLvl w:val="1"/>
    </w:pPr>
    <w:rPr>
      <w:rFonts w:ascii="Liberation Sans" w:eastAsia="Times New Roman" w:hAnsi="Liberation Sans" w:cs="FreeSans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452B6"/>
    <w:rPr>
      <w:rFonts w:ascii="Liberation Sans" w:eastAsia="Times New Roman" w:hAnsi="Liberation Sans" w:cs="FreeSans"/>
      <w:sz w:val="28"/>
      <w:szCs w:val="28"/>
      <w:lang w:eastAsia="ru-RU"/>
    </w:rPr>
  </w:style>
  <w:style w:type="paragraph" w:customStyle="1" w:styleId="TextBody">
    <w:name w:val="Text Body"/>
    <w:basedOn w:val="a"/>
    <w:rsid w:val="001452B6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rongEmphasis">
    <w:name w:val="Strong Emphasis"/>
    <w:rsid w:val="001452B6"/>
    <w:rPr>
      <w:b/>
      <w:bCs/>
    </w:rPr>
  </w:style>
  <w:style w:type="character" w:styleId="a3">
    <w:name w:val="Emphasis"/>
    <w:basedOn w:val="a0"/>
    <w:qFormat/>
    <w:rsid w:val="001452B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DF5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5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2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D3FA-ABAC-4ABD-8A39-0C7F8A2D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Святский Александр Павлович</dc:creator>
  <cp:keywords/>
  <dc:description/>
  <cp:lastModifiedBy>Святский Александр Павлович</cp:lastModifiedBy>
  <cp:revision>7</cp:revision>
  <cp:lastPrinted>2024-07-08T06:14:00Z</cp:lastPrinted>
  <dcterms:created xsi:type="dcterms:W3CDTF">2023-09-26T09:49:00Z</dcterms:created>
  <dcterms:modified xsi:type="dcterms:W3CDTF">2025-03-24T11:04:00Z</dcterms:modified>
</cp:coreProperties>
</file>