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24D9" w14:textId="77777777" w:rsidR="00CC345A" w:rsidRPr="008424B8" w:rsidRDefault="00D57D6C" w:rsidP="00D57D6C">
      <w:pPr>
        <w:pStyle w:val="ae"/>
        <w:shd w:val="clear" w:color="auto" w:fill="FFFFFF"/>
        <w:spacing w:before="0" w:beforeAutospacing="0" w:after="225" w:afterAutospacing="0"/>
        <w:jc w:val="center"/>
        <w:rPr>
          <w:rStyle w:val="a9"/>
          <w:rFonts w:eastAsia="Calibri"/>
          <w:color w:val="000000"/>
          <w:sz w:val="28"/>
          <w:szCs w:val="28"/>
        </w:rPr>
      </w:pPr>
      <w:r w:rsidRPr="008424B8">
        <w:rPr>
          <w:rStyle w:val="a9"/>
          <w:rFonts w:eastAsia="Calibri"/>
          <w:color w:val="000000"/>
          <w:sz w:val="28"/>
          <w:szCs w:val="28"/>
        </w:rPr>
        <w:t>ПРЕДВАРИТЕЛЬНОЕ ИНФОРМИРОВАНИЕ ГРАЖДАН И ЮРИДИЧЕСКИХ ЛИЦ О ПЛАНИРУЕМОЙ ХОЗЯЙСТВЕННОЙ И ИНОЙ ДЕЯТЕЛЬНОСТИ</w:t>
      </w:r>
      <w:r w:rsidR="00CC345A" w:rsidRPr="008424B8">
        <w:rPr>
          <w:rStyle w:val="a9"/>
          <w:rFonts w:eastAsia="Calibri"/>
          <w:color w:val="000000"/>
          <w:sz w:val="28"/>
          <w:szCs w:val="28"/>
        </w:rPr>
        <w:t xml:space="preserve"> ПО ОБЪЕКТУ</w:t>
      </w:r>
    </w:p>
    <w:p w14:paraId="27027A77" w14:textId="4A39003E" w:rsidR="00D57D6C" w:rsidRPr="00EB4CDB" w:rsidRDefault="00DB2E4B" w:rsidP="006638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="Calibri"/>
          <w:b w:val="0"/>
          <w:bCs w:val="0"/>
          <w:color w:val="000000"/>
          <w:spacing w:val="-4"/>
          <w:sz w:val="28"/>
          <w:szCs w:val="28"/>
        </w:rPr>
      </w:pPr>
      <w:r w:rsidRPr="00EB4CDB">
        <w:rPr>
          <w:b/>
          <w:bCs/>
          <w:spacing w:val="-4"/>
          <w:sz w:val="28"/>
          <w:szCs w:val="28"/>
          <w:lang w:eastAsia="en-US"/>
        </w:rPr>
        <w:t>«</w:t>
      </w:r>
      <w:r w:rsidRPr="00EB4CDB">
        <w:rPr>
          <w:b/>
          <w:bCs/>
          <w:spacing w:val="-4"/>
          <w:sz w:val="28"/>
          <w:szCs w:val="28"/>
        </w:rPr>
        <w:t>Реконструкция ПС 110/10 кВ «Браслав» в г. Браслав, Витебской области»</w:t>
      </w:r>
    </w:p>
    <w:p w14:paraId="2520F4B5" w14:textId="77777777" w:rsidR="00D57D6C" w:rsidRPr="008424B8" w:rsidRDefault="00D57D6C" w:rsidP="00442DB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424B8">
        <w:rPr>
          <w:rStyle w:val="a9"/>
          <w:rFonts w:eastAsia="Calibri"/>
          <w:color w:val="000000"/>
          <w:sz w:val="26"/>
          <w:szCs w:val="26"/>
        </w:rPr>
        <w:t>Сведения о заказчике</w:t>
      </w:r>
    </w:p>
    <w:p w14:paraId="7C58968C" w14:textId="641724C0" w:rsidR="007D0288" w:rsidRPr="008424B8" w:rsidRDefault="00CC345A" w:rsidP="00442DBD">
      <w:pPr>
        <w:pStyle w:val="21"/>
        <w:spacing w:after="0"/>
        <w:ind w:firstLine="567"/>
        <w:rPr>
          <w:rFonts w:ascii="Times New Roman" w:hAnsi="Times New Roman" w:cs="Times New Roman"/>
        </w:rPr>
      </w:pPr>
      <w:r w:rsidRPr="008424B8">
        <w:rPr>
          <w:rFonts w:ascii="Times New Roman" w:hAnsi="Times New Roman" w:cs="Times New Roman"/>
        </w:rPr>
        <w:t xml:space="preserve">Заказчиком планируемой хозяйственной деятельности выступает </w:t>
      </w:r>
      <w:r w:rsidR="00C84127" w:rsidRPr="008424B8">
        <w:rPr>
          <w:rFonts w:ascii="Times New Roman" w:hAnsi="Times New Roman" w:cs="Times New Roman"/>
        </w:rPr>
        <w:t>РУП</w:t>
      </w:r>
      <w:r w:rsidR="00442DBD" w:rsidRPr="008424B8">
        <w:rPr>
          <w:rFonts w:ascii="Times New Roman" w:hAnsi="Times New Roman" w:cs="Times New Roman"/>
        </w:rPr>
        <w:t> </w:t>
      </w:r>
      <w:r w:rsidR="00C84127" w:rsidRPr="008424B8">
        <w:rPr>
          <w:rFonts w:ascii="Times New Roman" w:hAnsi="Times New Roman" w:cs="Times New Roman"/>
        </w:rPr>
        <w:t>«Витебскэнерго»</w:t>
      </w:r>
      <w:r w:rsidR="003B7001" w:rsidRPr="008424B8">
        <w:rPr>
          <w:rFonts w:ascii="Times New Roman" w:hAnsi="Times New Roman" w:cs="Times New Roman"/>
        </w:rPr>
        <w:t>. Почтовый адрес:</w:t>
      </w:r>
      <w:r w:rsidR="0079102F" w:rsidRPr="008424B8">
        <w:rPr>
          <w:rFonts w:ascii="Times New Roman" w:hAnsi="Times New Roman" w:cs="Times New Roman"/>
        </w:rPr>
        <w:t xml:space="preserve"> </w:t>
      </w:r>
      <w:r w:rsidR="003B7001" w:rsidRPr="008424B8">
        <w:rPr>
          <w:rFonts w:ascii="Times New Roman" w:hAnsi="Times New Roman" w:cs="Times New Roman"/>
        </w:rPr>
        <w:t xml:space="preserve">Республика Беларусь, </w:t>
      </w:r>
      <w:r w:rsidR="00C84127" w:rsidRPr="008424B8">
        <w:rPr>
          <w:rFonts w:ascii="Times New Roman" w:hAnsi="Times New Roman" w:cs="Times New Roman"/>
        </w:rPr>
        <w:t>210029, ул.</w:t>
      </w:r>
      <w:r w:rsidR="00DB2E4B" w:rsidRPr="008424B8">
        <w:rPr>
          <w:rFonts w:ascii="Times New Roman" w:hAnsi="Times New Roman" w:cs="Times New Roman"/>
        </w:rPr>
        <w:t xml:space="preserve"> </w:t>
      </w:r>
      <w:r w:rsidR="00C84127" w:rsidRPr="008424B8">
        <w:rPr>
          <w:rFonts w:ascii="Times New Roman" w:hAnsi="Times New Roman" w:cs="Times New Roman"/>
        </w:rPr>
        <w:t>Правды,</w:t>
      </w:r>
      <w:r w:rsidR="001E2715" w:rsidRPr="008424B8">
        <w:rPr>
          <w:rFonts w:ascii="Times New Roman" w:hAnsi="Times New Roman" w:cs="Times New Roman"/>
          <w:lang w:val="en-US"/>
        </w:rPr>
        <w:t> </w:t>
      </w:r>
      <w:r w:rsidR="00C84127" w:rsidRPr="008424B8">
        <w:rPr>
          <w:rFonts w:ascii="Times New Roman" w:hAnsi="Times New Roman" w:cs="Times New Roman"/>
        </w:rPr>
        <w:t>30,</w:t>
      </w:r>
      <w:r w:rsidR="00442DBD" w:rsidRPr="008424B8">
        <w:rPr>
          <w:rFonts w:ascii="Times New Roman" w:hAnsi="Times New Roman" w:cs="Times New Roman"/>
        </w:rPr>
        <w:t xml:space="preserve"> </w:t>
      </w:r>
      <w:r w:rsidR="00C84127" w:rsidRPr="008424B8">
        <w:rPr>
          <w:rFonts w:ascii="Times New Roman" w:hAnsi="Times New Roman" w:cs="Times New Roman"/>
        </w:rPr>
        <w:t>г.Витебск,</w:t>
      </w:r>
      <w:r w:rsidR="003B7001" w:rsidRPr="008424B8">
        <w:rPr>
          <w:rFonts w:ascii="Times New Roman" w:hAnsi="Times New Roman" w:cs="Times New Roman"/>
        </w:rPr>
        <w:t xml:space="preserve"> </w:t>
      </w:r>
      <w:r w:rsidR="00C84127" w:rsidRPr="008424B8">
        <w:rPr>
          <w:rFonts w:ascii="Times New Roman" w:hAnsi="Times New Roman" w:cs="Times New Roman"/>
        </w:rPr>
        <w:t xml:space="preserve">телефон </w:t>
      </w:r>
      <w:r w:rsidR="007D0288" w:rsidRPr="008424B8">
        <w:rPr>
          <w:rFonts w:ascii="Times New Roman" w:hAnsi="Times New Roman" w:cs="Times New Roman"/>
        </w:rPr>
        <w:t> </w:t>
      </w:r>
      <w:hyperlink r:id="rId5" w:history="1">
        <w:r w:rsidR="00DB2E4B" w:rsidRPr="008424B8">
          <w:rPr>
            <w:rStyle w:val="af0"/>
            <w:rFonts w:ascii="Times New Roman" w:hAnsi="Times New Roman" w:cs="Times New Roman"/>
            <w:color w:val="auto"/>
            <w:u w:val="none"/>
          </w:rPr>
          <w:t xml:space="preserve">+375 </w:t>
        </w:r>
        <w:r w:rsidR="007D0288" w:rsidRPr="008424B8">
          <w:rPr>
            <w:rStyle w:val="af0"/>
            <w:rFonts w:ascii="Times New Roman" w:hAnsi="Times New Roman" w:cs="Times New Roman"/>
            <w:color w:val="auto"/>
            <w:u w:val="none"/>
          </w:rPr>
          <w:t>(212) 49-23-59</w:t>
        </w:r>
      </w:hyperlink>
      <w:r w:rsidR="00C84127" w:rsidRPr="008424B8">
        <w:rPr>
          <w:rFonts w:ascii="Times New Roman" w:hAnsi="Times New Roman" w:cs="Times New Roman"/>
        </w:rPr>
        <w:t xml:space="preserve">, факс  </w:t>
      </w:r>
      <w:r w:rsidR="00DB2E4B" w:rsidRPr="008424B8">
        <w:rPr>
          <w:rFonts w:ascii="Times New Roman" w:hAnsi="Times New Roman" w:cs="Times New Roman"/>
        </w:rPr>
        <w:t>+375</w:t>
      </w:r>
      <w:r w:rsidR="007D0288" w:rsidRPr="008424B8">
        <w:rPr>
          <w:rFonts w:ascii="Times New Roman" w:hAnsi="Times New Roman" w:cs="Times New Roman"/>
        </w:rPr>
        <w:t> </w:t>
      </w:r>
      <w:r w:rsidR="00C84127" w:rsidRPr="008424B8">
        <w:rPr>
          <w:rFonts w:ascii="Times New Roman" w:hAnsi="Times New Roman" w:cs="Times New Roman"/>
        </w:rPr>
        <w:t>(212)</w:t>
      </w:r>
      <w:r w:rsidR="007D0288" w:rsidRPr="008424B8">
        <w:rPr>
          <w:rFonts w:ascii="Times New Roman" w:hAnsi="Times New Roman" w:cs="Times New Roman"/>
        </w:rPr>
        <w:t> </w:t>
      </w:r>
      <w:r w:rsidR="00C84127" w:rsidRPr="008424B8">
        <w:rPr>
          <w:rFonts w:ascii="Times New Roman" w:hAnsi="Times New Roman" w:cs="Times New Roman"/>
        </w:rPr>
        <w:t>36-06-33</w:t>
      </w:r>
      <w:r w:rsidR="003B7001" w:rsidRPr="008424B8">
        <w:rPr>
          <w:rFonts w:ascii="Times New Roman" w:hAnsi="Times New Roman" w:cs="Times New Roman"/>
        </w:rPr>
        <w:t xml:space="preserve">, </w:t>
      </w:r>
    </w:p>
    <w:p w14:paraId="6D946E0B" w14:textId="77777777" w:rsidR="00442DBD" w:rsidRPr="008424B8" w:rsidRDefault="003B7001" w:rsidP="007D0288">
      <w:pPr>
        <w:pStyle w:val="21"/>
        <w:spacing w:after="0"/>
        <w:ind w:firstLine="0"/>
        <w:rPr>
          <w:rFonts w:ascii="Times New Roman" w:hAnsi="Times New Roman" w:cs="Times New Roman"/>
        </w:rPr>
      </w:pPr>
      <w:r w:rsidRPr="008424B8">
        <w:rPr>
          <w:rFonts w:ascii="Times New Roman" w:hAnsi="Times New Roman" w:cs="Times New Roman"/>
        </w:rPr>
        <w:t>E-mail: </w:t>
      </w:r>
      <w:hyperlink r:id="rId6" w:history="1">
        <w:r w:rsidR="00442DBD" w:rsidRPr="008424B8">
          <w:rPr>
            <w:rFonts w:ascii="Times New Roman" w:hAnsi="Times New Roman" w:cs="Times New Roman"/>
          </w:rPr>
          <w:t>energo@vitebsk.energo.by</w:t>
        </w:r>
      </w:hyperlink>
      <w:r w:rsidR="00442DBD" w:rsidRPr="008424B8">
        <w:rPr>
          <w:rFonts w:ascii="Times New Roman" w:hAnsi="Times New Roman" w:cs="Times New Roman"/>
        </w:rPr>
        <w:t xml:space="preserve"> </w:t>
      </w:r>
    </w:p>
    <w:p w14:paraId="724E9F7E" w14:textId="77777777" w:rsidR="00442DBD" w:rsidRPr="008424B8" w:rsidRDefault="00442DBD" w:rsidP="00442DBD">
      <w:pPr>
        <w:pStyle w:val="21"/>
        <w:spacing w:after="0"/>
        <w:ind w:firstLine="567"/>
        <w:rPr>
          <w:rFonts w:ascii="Times New Roman" w:hAnsi="Times New Roman" w:cs="Times New Roman"/>
        </w:rPr>
      </w:pPr>
    </w:p>
    <w:p w14:paraId="1C08EB0E" w14:textId="77777777" w:rsidR="00D57D6C" w:rsidRPr="008424B8" w:rsidRDefault="00D57D6C" w:rsidP="006927FE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424B8">
        <w:rPr>
          <w:rStyle w:val="a9"/>
          <w:rFonts w:eastAsia="Calibri"/>
          <w:color w:val="000000"/>
        </w:rPr>
        <w:t>График работ по проведению оценки воздействия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81"/>
        <w:gridCol w:w="3125"/>
      </w:tblGrid>
      <w:tr w:rsidR="00D57D6C" w:rsidRPr="008424B8" w14:paraId="0402ABAE" w14:textId="77777777" w:rsidTr="00267A89"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E3348" w14:textId="77777777" w:rsidR="00D57D6C" w:rsidRPr="00837F9C" w:rsidRDefault="00D57D6C" w:rsidP="006927FE">
            <w:pPr>
              <w:rPr>
                <w:color w:val="000000"/>
              </w:rPr>
            </w:pPr>
            <w:r w:rsidRPr="00837F9C">
              <w:rPr>
                <w:color w:val="000000"/>
              </w:rPr>
              <w:t>Подготовка программы проведения ОВОС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217AB" w14:textId="691ED3B1" w:rsidR="00D57D6C" w:rsidRPr="00837F9C" w:rsidRDefault="004723F8" w:rsidP="00692FC7">
            <w:pPr>
              <w:rPr>
                <w:color w:val="000000"/>
              </w:rPr>
            </w:pPr>
            <w:r w:rsidRPr="00837F9C">
              <w:rPr>
                <w:color w:val="000000"/>
              </w:rPr>
              <w:t>сентябрь 2025 года</w:t>
            </w:r>
          </w:p>
        </w:tc>
      </w:tr>
      <w:tr w:rsidR="00691BAB" w:rsidRPr="008424B8" w14:paraId="68DED20C" w14:textId="77777777" w:rsidTr="00267A89"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9A900" w14:textId="6F708F4B" w:rsidR="00691BAB" w:rsidRPr="00837F9C" w:rsidRDefault="00691BAB" w:rsidP="006927FE">
            <w:pPr>
              <w:rPr>
                <w:color w:val="000000"/>
              </w:rPr>
            </w:pPr>
            <w:r w:rsidRPr="00837F9C">
              <w:rPr>
                <w:color w:val="000000"/>
              </w:rPr>
              <w:t>Проведение предварительного информирования граждан и юридических лиц о планируемой хозяйственной деятельности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52AFD" w14:textId="5996D929" w:rsidR="00691BAB" w:rsidRPr="00837F9C" w:rsidRDefault="00691BAB" w:rsidP="00692FC7">
            <w:pPr>
              <w:rPr>
                <w:color w:val="000000"/>
              </w:rPr>
            </w:pPr>
            <w:r w:rsidRPr="00837F9C">
              <w:rPr>
                <w:color w:val="000000"/>
              </w:rPr>
              <w:t>ноябрь 2025 года</w:t>
            </w:r>
          </w:p>
        </w:tc>
      </w:tr>
      <w:tr w:rsidR="00D57D6C" w:rsidRPr="008424B8" w14:paraId="161CF4D5" w14:textId="77777777" w:rsidTr="00267A89"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0DA4B" w14:textId="54720E98" w:rsidR="00D57D6C" w:rsidRPr="00837F9C" w:rsidRDefault="00691BAB" w:rsidP="006927FE">
            <w:pPr>
              <w:rPr>
                <w:color w:val="000000"/>
              </w:rPr>
            </w:pPr>
            <w:r w:rsidRPr="00837F9C">
              <w:rPr>
                <w:color w:val="000000"/>
              </w:rPr>
              <w:t>П</w:t>
            </w:r>
            <w:r w:rsidR="00CC345A" w:rsidRPr="00837F9C">
              <w:rPr>
                <w:color w:val="000000"/>
              </w:rPr>
              <w:t>одготовка отчета об ОВОС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37644" w14:textId="0A2B9B31" w:rsidR="00D57D6C" w:rsidRPr="00837F9C" w:rsidRDefault="004723F8" w:rsidP="00692FC7">
            <w:pPr>
              <w:rPr>
                <w:color w:val="000000"/>
              </w:rPr>
            </w:pPr>
            <w:r w:rsidRPr="00837F9C">
              <w:rPr>
                <w:color w:val="000000"/>
              </w:rPr>
              <w:t xml:space="preserve">октябрь </w:t>
            </w:r>
            <w:r w:rsidR="00691BAB" w:rsidRPr="00837F9C">
              <w:rPr>
                <w:color w:val="000000"/>
              </w:rPr>
              <w:t xml:space="preserve">– ноябрь </w:t>
            </w:r>
            <w:r w:rsidRPr="00837F9C">
              <w:rPr>
                <w:color w:val="000000"/>
              </w:rPr>
              <w:t>2025 года</w:t>
            </w:r>
          </w:p>
        </w:tc>
      </w:tr>
      <w:tr w:rsidR="00D57D6C" w:rsidRPr="008424B8" w14:paraId="1425299D" w14:textId="77777777" w:rsidTr="00267A89"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E95908" w14:textId="77777777" w:rsidR="00D57D6C" w:rsidRPr="00837F9C" w:rsidRDefault="00D57D6C" w:rsidP="000E2720">
            <w:pPr>
              <w:rPr>
                <w:color w:val="000000"/>
              </w:rPr>
            </w:pPr>
            <w:r w:rsidRPr="00837F9C">
              <w:rPr>
                <w:color w:val="000000"/>
              </w:rPr>
              <w:t>Проведение общественных обсуждений (слушаний</w:t>
            </w:r>
            <w:r w:rsidR="000E2720" w:rsidRPr="00837F9C">
              <w:rPr>
                <w:color w:val="000000"/>
              </w:rPr>
              <w:t>)</w:t>
            </w:r>
            <w:r w:rsidRPr="00837F9C">
              <w:rPr>
                <w:color w:val="000000"/>
              </w:rPr>
              <w:t xml:space="preserve"> на территории Республики Беларусь 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E84D4F" w14:textId="3B3A0331" w:rsidR="004723F8" w:rsidRPr="00837F9C" w:rsidRDefault="004723F8" w:rsidP="007E5B5A">
            <w:pPr>
              <w:rPr>
                <w:color w:val="000000"/>
              </w:rPr>
            </w:pPr>
            <w:r w:rsidRPr="00837F9C">
              <w:rPr>
                <w:color w:val="000000"/>
              </w:rPr>
              <w:t>ноябрь 2025</w:t>
            </w:r>
            <w:r w:rsidR="00691BAB" w:rsidRPr="00837F9C">
              <w:rPr>
                <w:color w:val="000000"/>
              </w:rPr>
              <w:t xml:space="preserve"> – </w:t>
            </w:r>
          </w:p>
          <w:p w14:paraId="660976F3" w14:textId="27779B83" w:rsidR="00D57D6C" w:rsidRPr="00837F9C" w:rsidRDefault="004723F8" w:rsidP="007E5B5A">
            <w:pPr>
              <w:rPr>
                <w:color w:val="000000"/>
              </w:rPr>
            </w:pPr>
            <w:r w:rsidRPr="00837F9C">
              <w:rPr>
                <w:color w:val="000000"/>
              </w:rPr>
              <w:t>январь</w:t>
            </w:r>
            <w:r w:rsidR="00C75F2C" w:rsidRPr="00837F9C">
              <w:rPr>
                <w:color w:val="000000"/>
              </w:rPr>
              <w:t xml:space="preserve"> 202</w:t>
            </w:r>
            <w:r w:rsidRPr="00837F9C">
              <w:rPr>
                <w:color w:val="000000"/>
              </w:rPr>
              <w:t>6</w:t>
            </w:r>
            <w:r w:rsidR="00C75F2C" w:rsidRPr="00837F9C">
              <w:rPr>
                <w:color w:val="000000"/>
              </w:rPr>
              <w:t xml:space="preserve"> года*</w:t>
            </w:r>
          </w:p>
        </w:tc>
      </w:tr>
      <w:tr w:rsidR="00D57D6C" w:rsidRPr="008424B8" w14:paraId="0E17AA8B" w14:textId="77777777" w:rsidTr="00267A89"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A1DA3" w14:textId="77777777" w:rsidR="00D57D6C" w:rsidRPr="00837F9C" w:rsidRDefault="00D57D6C" w:rsidP="006927FE">
            <w:pPr>
              <w:rPr>
                <w:color w:val="000000"/>
              </w:rPr>
            </w:pPr>
            <w:r w:rsidRPr="00837F9C">
              <w:rPr>
                <w:color w:val="000000"/>
              </w:rPr>
              <w:t>Доработка отчета об ОВОС по замечаниям*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A65AA" w14:textId="77777777" w:rsidR="00691BAB" w:rsidRPr="00837F9C" w:rsidRDefault="004723F8" w:rsidP="007E5B5A">
            <w:pPr>
              <w:rPr>
                <w:color w:val="000000"/>
              </w:rPr>
            </w:pPr>
            <w:r w:rsidRPr="00837F9C">
              <w:rPr>
                <w:color w:val="000000"/>
              </w:rPr>
              <w:t>февраль</w:t>
            </w:r>
            <w:r w:rsidR="001A22C4" w:rsidRPr="00837F9C">
              <w:rPr>
                <w:color w:val="000000"/>
              </w:rPr>
              <w:t xml:space="preserve"> 202</w:t>
            </w:r>
            <w:r w:rsidRPr="00837F9C">
              <w:rPr>
                <w:color w:val="000000"/>
              </w:rPr>
              <w:t>6</w:t>
            </w:r>
            <w:r w:rsidR="001A22C4" w:rsidRPr="00837F9C">
              <w:rPr>
                <w:color w:val="000000"/>
              </w:rPr>
              <w:t xml:space="preserve"> </w:t>
            </w:r>
            <w:r w:rsidR="00C75F2C" w:rsidRPr="00837F9C">
              <w:rPr>
                <w:color w:val="000000"/>
              </w:rPr>
              <w:t>г</w:t>
            </w:r>
            <w:r w:rsidRPr="00837F9C">
              <w:rPr>
                <w:color w:val="000000"/>
              </w:rPr>
              <w:t>ода</w:t>
            </w:r>
          </w:p>
          <w:p w14:paraId="2F0FD97F" w14:textId="2EF4B3A9" w:rsidR="00D57D6C" w:rsidRPr="00837F9C" w:rsidRDefault="00691BAB" w:rsidP="007E5B5A">
            <w:pPr>
              <w:rPr>
                <w:color w:val="000000"/>
              </w:rPr>
            </w:pPr>
            <w:r w:rsidRPr="00837F9C">
              <w:rPr>
                <w:color w:val="000000"/>
              </w:rPr>
              <w:t>(при необходимости)</w:t>
            </w:r>
          </w:p>
        </w:tc>
      </w:tr>
      <w:tr w:rsidR="00D57D6C" w:rsidRPr="008424B8" w14:paraId="08291CD4" w14:textId="77777777" w:rsidTr="00267A89"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63BF6" w14:textId="77777777" w:rsidR="00D57D6C" w:rsidRPr="00837F9C" w:rsidRDefault="00D57D6C" w:rsidP="006927FE">
            <w:pPr>
              <w:rPr>
                <w:color w:val="000000"/>
              </w:rPr>
            </w:pPr>
            <w:r w:rsidRPr="00837F9C">
              <w:rPr>
                <w:color w:val="000000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71F50" w14:textId="6E7803A9" w:rsidR="00D57D6C" w:rsidRPr="00837F9C" w:rsidRDefault="004723F8" w:rsidP="00E84153">
            <w:pPr>
              <w:rPr>
                <w:color w:val="000000"/>
              </w:rPr>
            </w:pPr>
            <w:r w:rsidRPr="00837F9C">
              <w:rPr>
                <w:color w:val="000000"/>
              </w:rPr>
              <w:t>март</w:t>
            </w:r>
            <w:r w:rsidR="00C16070" w:rsidRPr="00837F9C">
              <w:rPr>
                <w:color w:val="000000"/>
              </w:rPr>
              <w:t xml:space="preserve"> </w:t>
            </w:r>
            <w:r w:rsidR="001A22C4" w:rsidRPr="00837F9C">
              <w:rPr>
                <w:color w:val="000000"/>
              </w:rPr>
              <w:t>202</w:t>
            </w:r>
            <w:r w:rsidRPr="00837F9C">
              <w:rPr>
                <w:color w:val="000000"/>
              </w:rPr>
              <w:t>6</w:t>
            </w:r>
            <w:r w:rsidR="00C75F2C" w:rsidRPr="00837F9C">
              <w:rPr>
                <w:color w:val="000000"/>
              </w:rPr>
              <w:t xml:space="preserve"> г</w:t>
            </w:r>
            <w:r w:rsidRPr="00837F9C">
              <w:rPr>
                <w:color w:val="000000"/>
              </w:rPr>
              <w:t>ода</w:t>
            </w:r>
          </w:p>
        </w:tc>
      </w:tr>
      <w:tr w:rsidR="00D57D6C" w:rsidRPr="008424B8" w14:paraId="493C6D05" w14:textId="77777777" w:rsidTr="00267A89">
        <w:trPr>
          <w:trHeight w:val="516"/>
        </w:trPr>
        <w:tc>
          <w:tcPr>
            <w:tcW w:w="33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39F8C" w14:textId="77777777" w:rsidR="00D57D6C" w:rsidRPr="00837F9C" w:rsidRDefault="00D57D6C" w:rsidP="006927FE">
            <w:pPr>
              <w:rPr>
                <w:color w:val="000000"/>
              </w:rPr>
            </w:pPr>
            <w:r w:rsidRPr="00837F9C">
              <w:rPr>
                <w:color w:val="000000"/>
              </w:rPr>
              <w:t>Принятие решения в отношении планируемой деятельности</w:t>
            </w:r>
          </w:p>
        </w:tc>
        <w:tc>
          <w:tcPr>
            <w:tcW w:w="161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C8FFB" w14:textId="77777777" w:rsidR="00D57D6C" w:rsidRPr="00837F9C" w:rsidRDefault="001A22C4" w:rsidP="001A22C4">
            <w:pPr>
              <w:rPr>
                <w:color w:val="000000"/>
              </w:rPr>
            </w:pPr>
            <w:r w:rsidRPr="00837F9C">
              <w:rPr>
                <w:color w:val="000000"/>
              </w:rPr>
              <w:t xml:space="preserve">1 </w:t>
            </w:r>
            <w:r w:rsidR="00C75F2C" w:rsidRPr="00837F9C">
              <w:rPr>
                <w:color w:val="000000"/>
              </w:rPr>
              <w:t>месяц после получения заключения органов государственной экспертизы</w:t>
            </w:r>
          </w:p>
        </w:tc>
      </w:tr>
    </w:tbl>
    <w:p w14:paraId="2E2F34AE" w14:textId="77777777" w:rsidR="00D57D6C" w:rsidRPr="008424B8" w:rsidRDefault="00D57D6C" w:rsidP="00D57D6C">
      <w:pPr>
        <w:pStyle w:val="ae"/>
        <w:shd w:val="clear" w:color="auto" w:fill="FFFFFF"/>
        <w:spacing w:before="0" w:beforeAutospacing="0" w:after="240" w:afterAutospacing="0"/>
        <w:rPr>
          <w:rStyle w:val="a9"/>
          <w:rFonts w:eastAsia="Calibri"/>
          <w:color w:val="000000"/>
          <w:sz w:val="26"/>
          <w:szCs w:val="26"/>
        </w:rPr>
      </w:pPr>
      <w:r w:rsidRPr="008424B8">
        <w:rPr>
          <w:color w:val="000000"/>
          <w:sz w:val="20"/>
          <w:szCs w:val="20"/>
        </w:rPr>
        <w:t xml:space="preserve">* </w:t>
      </w:r>
      <w:r w:rsidR="00C75F2C" w:rsidRPr="008424B8">
        <w:rPr>
          <w:color w:val="000000"/>
          <w:sz w:val="20"/>
          <w:szCs w:val="20"/>
        </w:rPr>
        <w:t>указанные сроки могут корректироваться</w:t>
      </w:r>
      <w:r w:rsidRPr="008424B8">
        <w:rPr>
          <w:color w:val="000000"/>
          <w:sz w:val="20"/>
          <w:szCs w:val="20"/>
        </w:rPr>
        <w:t>;</w:t>
      </w:r>
      <w:r w:rsidRPr="008424B8">
        <w:rPr>
          <w:color w:val="000000"/>
          <w:sz w:val="20"/>
          <w:szCs w:val="20"/>
        </w:rPr>
        <w:br/>
      </w:r>
    </w:p>
    <w:p w14:paraId="6404C536" w14:textId="77777777" w:rsidR="00D57D6C" w:rsidRPr="008424B8" w:rsidRDefault="00D57D6C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8424B8">
        <w:rPr>
          <w:rStyle w:val="a9"/>
          <w:rFonts w:eastAsia="Calibri"/>
          <w:color w:val="000000"/>
        </w:rPr>
        <w:t>Сведения о планируемой деятельности и альтернативных вариантах ее размещения и (или) реализации</w:t>
      </w:r>
    </w:p>
    <w:p w14:paraId="6E2A17FD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</w:p>
    <w:p w14:paraId="6D2AC090" w14:textId="1869C357" w:rsidR="0001467A" w:rsidRPr="008424B8" w:rsidRDefault="0001467A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Основание для проектирования –</w:t>
      </w:r>
      <w:r w:rsidR="008424B8" w:rsidRPr="008424B8">
        <w:rPr>
          <w:rFonts w:eastAsia="Calibri"/>
          <w:color w:val="000000"/>
        </w:rPr>
        <w:t xml:space="preserve"> </w:t>
      </w:r>
      <w:r w:rsidRPr="008424B8">
        <w:rPr>
          <w:rFonts w:eastAsia="Calibri"/>
          <w:color w:val="000000"/>
        </w:rPr>
        <w:t>план проектных работ РУП «Витебскэнерго»</w:t>
      </w:r>
      <w:r w:rsidR="00AD6859" w:rsidRPr="008424B8">
        <w:rPr>
          <w:rFonts w:eastAsia="Calibri"/>
          <w:color w:val="000000"/>
        </w:rPr>
        <w:t xml:space="preserve"> на 2025 год</w:t>
      </w:r>
      <w:r w:rsidRPr="008424B8">
        <w:rPr>
          <w:rFonts w:eastAsia="Calibri"/>
          <w:color w:val="000000"/>
        </w:rPr>
        <w:t xml:space="preserve">. </w:t>
      </w:r>
    </w:p>
    <w:p w14:paraId="2216B66A" w14:textId="1C2A5425" w:rsidR="0001467A" w:rsidRPr="008424B8" w:rsidRDefault="0001467A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b w:val="0"/>
          <w:bCs w:val="0"/>
          <w:color w:val="000000"/>
        </w:rPr>
      </w:pPr>
      <w:r w:rsidRPr="008424B8">
        <w:rPr>
          <w:rFonts w:eastAsia="Calibri"/>
          <w:color w:val="000000"/>
        </w:rPr>
        <w:t>Финансирование капитальных затрат на реализацию объекта планируется осуществлять за счет собственных средств РУП «Витебскэнерго».</w:t>
      </w:r>
    </w:p>
    <w:p w14:paraId="43427EAA" w14:textId="5F1F9061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Объект планируемой деятельности находится в Браславском, Миорском, Шарковщинском районе Витебской области.</w:t>
      </w:r>
    </w:p>
    <w:p w14:paraId="6C24A9DB" w14:textId="1E56A114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Для организации ОРУ 110 кВ цифровой ПС «Браслав» по схеме №110-12 СТП 33243.01.216-16 «Одна рабочая, секционированная выключателем, и обходная система шин» выполняется расширение существующей её территории.</w:t>
      </w:r>
    </w:p>
    <w:p w14:paraId="1FB1BF7B" w14:textId="77777777" w:rsidR="004F6A70" w:rsidRPr="008424B8" w:rsidRDefault="004F6A7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</w:rPr>
      </w:pPr>
    </w:p>
    <w:p w14:paraId="1BBBCBD0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До начала выполнения реконструкции подстанции выполняется вынос следующих питающих лини 10 кВ:</w:t>
      </w:r>
    </w:p>
    <w:p w14:paraId="60B6D148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-КВЛ-10 № 517;</w:t>
      </w:r>
    </w:p>
    <w:p w14:paraId="311EB6F5" w14:textId="0E86B412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-КВЛ-10 № 511 ПС «Браслав».</w:t>
      </w:r>
    </w:p>
    <w:p w14:paraId="3E7ECBD4" w14:textId="77777777" w:rsidR="00B2340D" w:rsidRPr="008424B8" w:rsidRDefault="00B2340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</w:rPr>
      </w:pPr>
    </w:p>
    <w:p w14:paraId="0C1C8E79" w14:textId="53354AAE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Первый этап строительства. </w:t>
      </w:r>
    </w:p>
    <w:p w14:paraId="6669BD38" w14:textId="77777777" w:rsidR="005C0247" w:rsidRPr="008424B8" w:rsidRDefault="005C0247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</w:p>
    <w:p w14:paraId="1A936040" w14:textId="23DA6334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lastRenderedPageBreak/>
        <w:t>Для организации строительной площадки под новое модульное здание ЗРУ 10 кВ с ОПУ и строительство двух ячеек 110 кВ выполняется:</w:t>
      </w:r>
    </w:p>
    <w:p w14:paraId="174593F6" w14:textId="77777777" w:rsidR="005C0247" w:rsidRPr="008424B8" w:rsidRDefault="005C0247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</w:rPr>
      </w:pPr>
    </w:p>
    <w:p w14:paraId="0D8BEAF8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- </w:t>
      </w:r>
      <w:r w:rsidRPr="008424B8">
        <w:rPr>
          <w:rFonts w:eastAsia="Calibri"/>
          <w:color w:val="000000"/>
        </w:rPr>
        <w:t>вынос сетей, а также демонтаж строительных конструкций и части ограждения в необходимом объёме для данного этапа реконструкции подстанции;</w:t>
      </w:r>
    </w:p>
    <w:p w14:paraId="68516E35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ландшафтные работы с выравниванием участка под строительство ячейки 110 кВ;</w:t>
      </w:r>
    </w:p>
    <w:p w14:paraId="2440D537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-размещение нового модульного здания ЗРУ с ОПУ с установкой в нём силового оборудования;</w:t>
      </w:r>
    </w:p>
    <w:p w14:paraId="4E6E4FBE" w14:textId="21A39581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-</w:t>
      </w:r>
      <w:r w:rsidRPr="008424B8">
        <w:rPr>
          <w:rFonts w:eastAsia="Calibri"/>
          <w:color w:val="000000"/>
        </w:rPr>
        <w:t>монтаж маслоприёмника с фундаментом под трансформатор Т-2 и его установка c организаци</w:t>
      </w:r>
      <w:r w:rsidR="00FB6452" w:rsidRPr="008424B8">
        <w:rPr>
          <w:rFonts w:eastAsia="Calibri"/>
          <w:color w:val="000000"/>
        </w:rPr>
        <w:t>ей</w:t>
      </w:r>
      <w:r w:rsidRPr="008424B8">
        <w:rPr>
          <w:rFonts w:eastAsia="Calibri"/>
          <w:color w:val="000000"/>
        </w:rPr>
        <w:t xml:space="preserve"> связи установленного Т-2 с 2-ой секцией нового РУ-10 кВ;</w:t>
      </w:r>
    </w:p>
    <w:p w14:paraId="1162BFED" w14:textId="331F4248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-</w:t>
      </w:r>
      <w:r w:rsidRPr="008424B8">
        <w:rPr>
          <w:rFonts w:eastAsia="Calibri"/>
          <w:color w:val="000000"/>
        </w:rPr>
        <w:t>установка маслосборника и организация сети маслопровода для существующих масляных выключателей 110 кВ, силового трансформатора Т-1 и нового трансформатора Т-2;</w:t>
      </w:r>
    </w:p>
    <w:p w14:paraId="686E6642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установка молниеотводов на территории ПС;</w:t>
      </w:r>
    </w:p>
    <w:p w14:paraId="6EB7C8BB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-установка двух комплектов ТСН-ов и резистивных групп с их подключением к новому РУ-10 кВ;</w:t>
      </w:r>
    </w:p>
    <w:p w14:paraId="61FCE70D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-строительство кабельной сборки с её подключением к вводной ячейки 10 кВ существующего Т-1, с организацией кабельной связи между вводной ячейкой 1 секции нового РУ-10 кВ;</w:t>
      </w:r>
    </w:p>
    <w:p w14:paraId="22487114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-переподключение линии "ВЛ-110 на Опса" на новый линейный портал, и последующей подачей напряжения на установленный трансформатор Т-2 с включением нового РУ-10 кВ, при этом отключается Т-1 и демонтируется от данного трансформатора шинный мост до существующего РУ-10 кВ;</w:t>
      </w:r>
    </w:p>
    <w:p w14:paraId="3CB9E9C0" w14:textId="77777777" w:rsidR="00E073FE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-перезавод всех потребителей 10 кВ с существующего РУ-10 кВ в новое;</w:t>
      </w:r>
    </w:p>
    <w:p w14:paraId="4E283D69" w14:textId="2D915D6D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-строительство ограждений в необходимом объёме для данного этапа реконструкции подстанции.</w:t>
      </w:r>
    </w:p>
    <w:p w14:paraId="0EC28999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</w:p>
    <w:p w14:paraId="674F7E3A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Второй этап строительства.</w:t>
      </w:r>
    </w:p>
    <w:p w14:paraId="41179F97" w14:textId="77777777" w:rsidR="0039754A" w:rsidRPr="008424B8" w:rsidRDefault="0039754A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</w:p>
    <w:p w14:paraId="78F9723F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 демонтаж маслоприёмника, трансформаторного портала с фундаментом под Т-1, включая силовой трансформатор;</w:t>
      </w:r>
    </w:p>
    <w:p w14:paraId="789D6323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-демонтаж оборудования, строительных конструкций и электрических связей, находящихся в пределах существующих ячеек 110 кВ "ВЛ-110 на Опса", "ВЛ-110 на Миоры";</w:t>
      </w:r>
    </w:p>
    <w:p w14:paraId="65C00BF2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-демонтаж существующей сети маслопровода от Т-1;</w:t>
      </w:r>
    </w:p>
    <w:p w14:paraId="15FCEBB9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-демонтаж концевой опоры 110 кВ;</w:t>
      </w:r>
    </w:p>
    <w:p w14:paraId="2972F00D" w14:textId="396FEDA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-</w:t>
      </w:r>
      <w:r w:rsidRPr="008424B8">
        <w:rPr>
          <w:rFonts w:eastAsia="Calibri"/>
          <w:color w:val="000000"/>
        </w:rPr>
        <w:t>демонтаж ограждения в необходимом объёме для данного этапа реконструкции подстанции;</w:t>
      </w:r>
    </w:p>
    <w:p w14:paraId="4D0B5210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-возведение части 1, 2-ой, обходной систем шин, трансформаторной ячейки Т-1, шиносоединительного выключателя, линейной ячейки "ВЛ-110 на Миоры";</w:t>
      </w:r>
    </w:p>
    <w:p w14:paraId="1DE0E986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-монтаж маслоприёмника с фундаментом под трансформатор Т-1, установка Т-1 и его подключение к системе маслоотвода;</w:t>
      </w:r>
    </w:p>
    <w:p w14:paraId="2E163462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-переподключение линии "ВЛ-110 на Миоры" на новые линейные порталы, и последующей подачей напряжения на установленный трансформатор Т-1 с предварительным отключением временной кабельной перемычки от вводной ячейки нового РУ-10 кВ;</w:t>
      </w:r>
    </w:p>
    <w:p w14:paraId="2C229222" w14:textId="26B9BDBB" w:rsidR="00EE4F90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-строительство ограждений в необходимом объёме для данного этапа реконструкции подстанции</w:t>
      </w:r>
      <w:r w:rsidR="003F2135" w:rsidRPr="008424B8">
        <w:rPr>
          <w:rFonts w:eastAsia="Calibri"/>
          <w:color w:val="000000"/>
        </w:rPr>
        <w:t>.</w:t>
      </w:r>
    </w:p>
    <w:p w14:paraId="1259E9B0" w14:textId="77777777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</w:rPr>
      </w:pPr>
    </w:p>
    <w:p w14:paraId="3155BF22" w14:textId="77777777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Третий этап строительства.</w:t>
      </w:r>
    </w:p>
    <w:p w14:paraId="3C5FFA82" w14:textId="77777777" w:rsidR="00B9065F" w:rsidRPr="008424B8" w:rsidRDefault="00B9065F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</w:p>
    <w:p w14:paraId="261A47A1" w14:textId="77777777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-демонтаж оставшегося существующего оборудования, строительных конструкций, электрических связей, сети маслоотвода от демонтируемого оборудования и существующего ограждения;</w:t>
      </w:r>
    </w:p>
    <w:p w14:paraId="197C8F50" w14:textId="77777777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lastRenderedPageBreak/>
        <w:t xml:space="preserve"> </w:t>
      </w:r>
      <w:r w:rsidRPr="008424B8">
        <w:rPr>
          <w:rFonts w:eastAsia="Calibri"/>
          <w:color w:val="000000"/>
        </w:rPr>
        <w:t>- возведение части 1, 2-ой и обходной систем шин;</w:t>
      </w:r>
    </w:p>
    <w:p w14:paraId="3C891205" w14:textId="718514D1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 возведение ячеек 110 кВ: обходного выключателя, линейной ячейки "ВЛ-110 на Сосновцы", также предусмотрено место для подключения перспективного трансформатора Т-3;</w:t>
      </w:r>
    </w:p>
    <w:p w14:paraId="481425BC" w14:textId="77777777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-переподключение линии "ВЛ-110 на Сосновцы" на новые линейные порталы и последующей подачей напряжения;</w:t>
      </w:r>
    </w:p>
    <w:p w14:paraId="65812EE5" w14:textId="1E86A4E5" w:rsidR="003F2135" w:rsidRPr="008424B8" w:rsidRDefault="003F2135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-строительство ограждений и организация дорожного полотна</w:t>
      </w:r>
      <w:r w:rsidR="007F68B4" w:rsidRPr="008424B8">
        <w:rPr>
          <w:rFonts w:eastAsia="Calibri"/>
          <w:color w:val="000000"/>
        </w:rPr>
        <w:t>.</w:t>
      </w:r>
    </w:p>
    <w:p w14:paraId="342EE416" w14:textId="77777777" w:rsidR="00EE4F90" w:rsidRPr="008424B8" w:rsidRDefault="00EE4F9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</w:p>
    <w:p w14:paraId="526E5B63" w14:textId="6AC76114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Организация инженерных сетей собственных нужд подстанции «Браслав»</w:t>
      </w:r>
      <w:r w:rsidR="007F68B4" w:rsidRPr="008424B8">
        <w:rPr>
          <w:rFonts w:eastAsia="Calibri"/>
          <w:color w:val="000000"/>
        </w:rPr>
        <w:t>.</w:t>
      </w:r>
    </w:p>
    <w:p w14:paraId="25DDC3F6" w14:textId="7DE41EF1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Реконструкция релейной защиты и автоматики в полном объеме на ПС «Браслав»</w:t>
      </w:r>
      <w:r w:rsidR="007F68B4" w:rsidRPr="008424B8">
        <w:rPr>
          <w:rFonts w:eastAsia="Calibri"/>
          <w:color w:val="000000"/>
        </w:rPr>
        <w:t>.</w:t>
      </w:r>
    </w:p>
    <w:p w14:paraId="30500D49" w14:textId="33840C4C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На ПС 110 кВ «Опса»</w:t>
      </w:r>
      <w:r w:rsidR="007F68B4" w:rsidRPr="008424B8">
        <w:rPr>
          <w:rFonts w:eastAsia="Calibri"/>
          <w:color w:val="000000"/>
        </w:rPr>
        <w:t>:</w:t>
      </w:r>
    </w:p>
    <w:p w14:paraId="769E4C48" w14:textId="77777777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выполнение релейной защиты и автоматики ВЛ 110 кВ «Браслав»;</w:t>
      </w:r>
    </w:p>
    <w:p w14:paraId="2C5AA90A" w14:textId="77777777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выполнение релейной защиты и автоматики ВЛ 110 кВ «Видзы».</w:t>
      </w:r>
    </w:p>
    <w:p w14:paraId="6C9E03D0" w14:textId="05053761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На ПС 110 кВ Сосновцы</w:t>
      </w:r>
      <w:r w:rsidR="007F68B4" w:rsidRPr="008424B8">
        <w:rPr>
          <w:rFonts w:eastAsia="Calibri"/>
          <w:color w:val="000000"/>
        </w:rPr>
        <w:t>:</w:t>
      </w:r>
    </w:p>
    <w:p w14:paraId="66BEB950" w14:textId="6BD8861D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выполнение релейной защиты и автоматики ВЛ 110 кВ «Браслав»;</w:t>
      </w:r>
    </w:p>
    <w:p w14:paraId="53B0AD41" w14:textId="77777777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выполнение релейной защиты и автоматики ВЛ 110 кВ «Шарковщина». </w:t>
      </w:r>
    </w:p>
    <w:p w14:paraId="2610BA4A" w14:textId="3BF37480" w:rsidR="007F68B4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ПС 110 кВ «Миоры»</w:t>
      </w:r>
      <w:r w:rsidR="007F68B4" w:rsidRPr="008424B8">
        <w:rPr>
          <w:rFonts w:eastAsia="Calibri"/>
          <w:color w:val="000000"/>
        </w:rPr>
        <w:t>:</w:t>
      </w:r>
      <w:r w:rsidRPr="008424B8">
        <w:rPr>
          <w:rFonts w:eastAsia="Calibri"/>
          <w:color w:val="000000"/>
        </w:rPr>
        <w:t xml:space="preserve"> </w:t>
      </w:r>
    </w:p>
    <w:p w14:paraId="75F47166" w14:textId="05C91CD5" w:rsidR="00F65AEB" w:rsidRPr="008424B8" w:rsidRDefault="00D2058D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8424B8">
        <w:rPr>
          <w:rFonts w:eastAsia="Calibri"/>
          <w:color w:val="000000"/>
        </w:rPr>
        <w:t>-Установка шкафа ВЧ ПРМ/ПРД</w:t>
      </w:r>
      <w:r w:rsidR="007F68B4" w:rsidRPr="008424B8">
        <w:rPr>
          <w:rFonts w:eastAsia="Calibri"/>
          <w:color w:val="000000"/>
        </w:rPr>
        <w:t>.</w:t>
      </w:r>
    </w:p>
    <w:p w14:paraId="08C6C829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</w:p>
    <w:p w14:paraId="1B9064BF" w14:textId="31F9CFAA" w:rsidR="00F65AEB" w:rsidRPr="008424B8" w:rsidRDefault="00EE0360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8424B8">
        <w:rPr>
          <w:rFonts w:eastAsia="Calibri"/>
          <w:color w:val="000000"/>
        </w:rPr>
        <w:t>Также предусматриваются работы по переводу сети в режим с резистивно-</w:t>
      </w:r>
      <w:r w:rsidRPr="008424B8">
        <w:rPr>
          <w:rFonts w:eastAsia="Calibri"/>
          <w:lang w:bidi="ar-SA"/>
        </w:rPr>
        <w:t xml:space="preserve"> </w:t>
      </w:r>
      <w:r w:rsidRPr="008424B8">
        <w:rPr>
          <w:rFonts w:eastAsia="Calibri"/>
          <w:color w:val="000000"/>
        </w:rPr>
        <w:t>заземленной н</w:t>
      </w:r>
      <w:r w:rsidRPr="008424B8">
        <w:rPr>
          <w:rFonts w:eastAsia="Calibri"/>
          <w:lang w:bidi="ar-SA"/>
        </w:rPr>
        <w:t xml:space="preserve"> </w:t>
      </w:r>
      <w:r w:rsidRPr="008424B8">
        <w:rPr>
          <w:rFonts w:eastAsia="Calibri"/>
          <w:color w:val="000000"/>
        </w:rPr>
        <w:t>нейтралью на РП и ТП Браславского РЭС.</w:t>
      </w:r>
    </w:p>
    <w:p w14:paraId="7666D441" w14:textId="77777777" w:rsidR="00F65AEB" w:rsidRPr="008424B8" w:rsidRDefault="00F65AE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</w:p>
    <w:p w14:paraId="14395166" w14:textId="77777777" w:rsidR="00FE120A" w:rsidRPr="008424B8" w:rsidRDefault="00FE120A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В соответствии с заданием на проектирование предусматривается:</w:t>
      </w:r>
    </w:p>
    <w:p w14:paraId="3B2587BA" w14:textId="77777777" w:rsidR="00FE120A" w:rsidRPr="008424B8" w:rsidRDefault="00FE120A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– Реконструкция ПС 110/10 кВ «Браслав» по концепции цифровой подстанции открытого типа с расширением территории и необходимостью предоставления дополнительного земельного участка.</w:t>
      </w:r>
    </w:p>
    <w:p w14:paraId="5F58A51F" w14:textId="29D4C3F6" w:rsidR="00F65AEB" w:rsidRPr="008424B8" w:rsidRDefault="00FE120A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8424B8">
        <w:rPr>
          <w:rFonts w:eastAsia="Calibri"/>
          <w:b/>
          <w:bCs/>
          <w:color w:val="000000"/>
        </w:rPr>
        <w:t xml:space="preserve"> </w:t>
      </w:r>
      <w:r w:rsidRPr="008424B8">
        <w:rPr>
          <w:rFonts w:eastAsia="Calibri"/>
          <w:color w:val="000000"/>
        </w:rPr>
        <w:t>-Реконструкция радиорелейной линии связи между ПС 110 кВ «Браслав» и ПС 110 кВ «Миоры» с организацией канала связи ПС 110 кВ «Браслав» - ПС 110 кВ «Миоры» - Глубокские электрические сети (ГЭС) (ПС 110 кВ «Миоры» - ГЭС - существующая радиорелейная линия связи).</w:t>
      </w:r>
    </w:p>
    <w:p w14:paraId="142CB9C5" w14:textId="6561256F" w:rsidR="00F65AEB" w:rsidRPr="008424B8" w:rsidRDefault="000849F1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-На ПС 110 кВ «Миоры» предусматривается установка направленной параболической антенны цифровой радиорелейной линии связи (ЦРРЛС) на существующей радиобашне высотой 70 м. Предусматривается установка блока IDU проектируемой ЦРРЛС в существующем телекоммуникационном шкафу, располагаемом в помещении связи.</w:t>
      </w:r>
    </w:p>
    <w:p w14:paraId="6A0932B7" w14:textId="77777777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-На ПС 110 кВ «Браслав» предусматривается установка направленной параболической антенны ЦРРЛС на существующей радиобашне высотой 70 м. Установка блока IDU предусматривается в существующем телекоммуникационном шкафу, располагаемом в аппаратной СДТУ Браславского РЭС.</w:t>
      </w:r>
    </w:p>
    <w:p w14:paraId="50E9B5CA" w14:textId="77777777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Для организации сбора данных телемеханики в протоколе МЭК 60870-5-104 с ПС 110 кВ «Дрисвяты», ПС 110 кВ «Шарковщина», ПС 110 кВ «Красносельцы», ПС 110 кВ «Опса» в Браславском РЭС предусматривается установка радиомодема, работающего в диапазоне частот 403-445 МГц, в существующий телекоммуникационный шкаф, располагаемый в аппаратной СДТУ. Размещение UHF- антенны радиомодема предполагается на существующей радиобашне.</w:t>
      </w:r>
    </w:p>
    <w:p w14:paraId="5A6D6C60" w14:textId="30EFEFF5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 - На ПС 110 кВ «Дрисвяты», ПС 110 кВ «Шарковщина», ПС 110 кВ «Красносельцы», ПС 110 кВ «Опса» предполагается установка радиомодемов, работающих в диапазоне частот 403-445 МГц, конвертеров протокола «Сириус» в МЭК 60870-5-104 в проектируемые телекоммуникационные шкафы. Размещение UHF-антенн радиомодемов предполагается на существующих молниеприемниках.</w:t>
      </w:r>
    </w:p>
    <w:p w14:paraId="5AE2DE6E" w14:textId="77777777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color w:val="000000"/>
        </w:rPr>
      </w:pPr>
    </w:p>
    <w:p w14:paraId="4AAE8232" w14:textId="1EA30873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>ПС 110 кВ Браслав расположена на территории Браславского района Витебской области и обеспечивает электроснабжение коммунально-бытовых и промышленных потребителей г. Браслав и прилегающего района.</w:t>
      </w:r>
    </w:p>
    <w:p w14:paraId="1F6E526B" w14:textId="00330162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lastRenderedPageBreak/>
        <w:t>Данный объект является объектом государственной экологической экспертизы согласно п. 1.3 статьи 5, п. 1.31 статьи 7 Закона Республики Беларусь от 18.07.2016 № 399- З «О государственной экологической экспертизе, стратегической экологической оценке и оценке воздействия на окружающую среду», так как объект расположен в границах особо охраняемых природных территорий, их охранных зон, территорий, зарезервированных для объявления особо охраняемыми природными территориями.</w:t>
      </w:r>
    </w:p>
    <w:p w14:paraId="5E79C5A1" w14:textId="1CFF6CAA" w:rsidR="008E69BB" w:rsidRPr="008424B8" w:rsidRDefault="008E69BB" w:rsidP="000E27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8424B8">
        <w:rPr>
          <w:rFonts w:eastAsia="Calibri"/>
          <w:color w:val="000000"/>
        </w:rPr>
        <w:t xml:space="preserve">В связи с тем, что возведение объекта предусматривает локальное воздействие на окружающую среду, </w:t>
      </w:r>
      <w:r w:rsidRPr="008424B8">
        <w:rPr>
          <w:rFonts w:eastAsia="Calibri"/>
          <w:i/>
          <w:iCs/>
          <w:color w:val="000000"/>
        </w:rPr>
        <w:t>вредного трансграничного воздействия не прогнозируется</w:t>
      </w:r>
      <w:r w:rsidRPr="008424B8">
        <w:rPr>
          <w:rFonts w:eastAsia="Calibri"/>
          <w:color w:val="000000"/>
        </w:rPr>
        <w:t>.</w:t>
      </w:r>
    </w:p>
    <w:p w14:paraId="340FBEE6" w14:textId="77777777" w:rsidR="000A7237" w:rsidRPr="008424B8" w:rsidRDefault="000A7237" w:rsidP="006927FE">
      <w:pPr>
        <w:spacing w:line="320" w:lineRule="exact"/>
        <w:ind w:firstLine="709"/>
        <w:jc w:val="both"/>
        <w:rPr>
          <w:rStyle w:val="a9"/>
          <w:color w:val="000000"/>
        </w:rPr>
      </w:pPr>
    </w:p>
    <w:p w14:paraId="5B1B49FB" w14:textId="77777777" w:rsidR="00D57D6C" w:rsidRPr="008424B8" w:rsidRDefault="00D57D6C" w:rsidP="000A7237">
      <w:pPr>
        <w:spacing w:line="320" w:lineRule="exact"/>
        <w:ind w:firstLine="567"/>
        <w:jc w:val="both"/>
        <w:rPr>
          <w:rStyle w:val="a9"/>
          <w:color w:val="000000"/>
        </w:rPr>
      </w:pPr>
      <w:r w:rsidRPr="008424B8">
        <w:rPr>
          <w:rStyle w:val="a9"/>
          <w:color w:val="000000"/>
        </w:rPr>
        <w:t>Рассматриваемые альтернативные варианты</w:t>
      </w:r>
    </w:p>
    <w:p w14:paraId="40F21204" w14:textId="77777777" w:rsidR="007736AE" w:rsidRPr="008424B8" w:rsidRDefault="007736AE" w:rsidP="007736AE">
      <w:pPr>
        <w:pStyle w:val="211"/>
        <w:ind w:firstLine="567"/>
        <w:rPr>
          <w:rFonts w:ascii="Times New Roman" w:hAnsi="Times New Roman" w:cs="Times New Roman"/>
          <w:b/>
        </w:rPr>
      </w:pPr>
      <w:bookmarkStart w:id="0" w:name="_Toc13640368"/>
      <w:bookmarkStart w:id="1" w:name="_Toc14849991"/>
      <w:bookmarkStart w:id="2" w:name="_Toc14946983"/>
      <w:bookmarkStart w:id="3" w:name="_Toc31897071"/>
      <w:bookmarkStart w:id="4" w:name="_Toc47435026"/>
      <w:r w:rsidRPr="008424B8">
        <w:rPr>
          <w:rFonts w:ascii="Times New Roman" w:hAnsi="Times New Roman" w:cs="Times New Roman"/>
          <w:b/>
        </w:rPr>
        <w:t>Вариант 1</w:t>
      </w:r>
      <w:bookmarkEnd w:id="0"/>
      <w:bookmarkEnd w:id="1"/>
      <w:bookmarkEnd w:id="2"/>
      <w:bookmarkEnd w:id="3"/>
      <w:bookmarkEnd w:id="4"/>
      <w:r w:rsidRPr="008424B8">
        <w:rPr>
          <w:rFonts w:ascii="Times New Roman" w:hAnsi="Times New Roman" w:cs="Times New Roman"/>
          <w:b/>
        </w:rPr>
        <w:t>.</w:t>
      </w:r>
    </w:p>
    <w:p w14:paraId="4253BFDF" w14:textId="77777777" w:rsidR="008E69BB" w:rsidRPr="008424B8" w:rsidRDefault="008E69BB" w:rsidP="007736AE">
      <w:pPr>
        <w:pStyle w:val="211"/>
        <w:ind w:firstLine="567"/>
        <w:rPr>
          <w:rFonts w:ascii="Times New Roman" w:hAnsi="Times New Roman" w:cs="Times New Roman"/>
          <w:b/>
        </w:rPr>
      </w:pPr>
    </w:p>
    <w:p w14:paraId="3EB90BD2" w14:textId="30BC562A" w:rsidR="008E69BB" w:rsidRPr="008424B8" w:rsidRDefault="00663B23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– Реконструкция ПС 110/10 кВ «Браслав» по концепции цифровой подстанции открытого типа с расширением территории и необходимостью предоставления дополнительного земельного участка.</w:t>
      </w:r>
    </w:p>
    <w:p w14:paraId="3FB000F9" w14:textId="0587EE9E" w:rsidR="00663B23" w:rsidRPr="008424B8" w:rsidRDefault="00663B23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-Реконструкция радиорелейной линии связи между ПС 110 кВ «Браслав» и ПС 110 кВ «Миоры» с организацией канала связи ПС 110 кВ «Браслав» - ПС 110 кВ «Миоры» - Глубокские электрические сети (ГЭС) (ПС 110 кВ «Миоры» - ГЭС - существующая радиорелейная линия связи).</w:t>
      </w:r>
    </w:p>
    <w:p w14:paraId="73716C50" w14:textId="71C62871" w:rsidR="00663B23" w:rsidRPr="008424B8" w:rsidRDefault="00663B23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-На ПС 110 кВ «Миоры» предусматривается установка направленной параболической антенны цифровой радиорелейной линии связи (ЦРРЛС) на существующей радиобашне высотой 70 м. Предусматривается установка блока IDU проектируемой ЦРРЛС в существующем телекоммуникационном шкафу, располагаемом в помещении связи.</w:t>
      </w:r>
    </w:p>
    <w:p w14:paraId="1CC4FFFD" w14:textId="7BBD35F1" w:rsidR="00663B23" w:rsidRPr="008424B8" w:rsidRDefault="00663B23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-На ПС 110 кВ «Браслав» предусматривается установка направленной параболической антенны ЦРРЛС на существующей радиобашне высотой 70 м. Установка блока IDU предусматривается в существующем телекоммуникационном шкафу, располагаемом в аппаратной СДТУ Браславского РЭС.</w:t>
      </w:r>
    </w:p>
    <w:p w14:paraId="44543232" w14:textId="67420230" w:rsidR="008C39E0" w:rsidRPr="008424B8" w:rsidRDefault="008C39E0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- Для организации сбора данных телемеханики в протоколе МЭК 60870-5-104 с ПС 110 кВ «Дрисвяты», ПС 110 кВ «Шарковщина», ПС ПО кВ «Красносельцы», ПС 110 кВ «Опса» в Браславском РЭС предусматривается установка радиомодема, работающего в диапазоне частот 403-445 МГц, в существующий телекоммуникационный шкаф, располагаемый в аппаратной СДТУ. Размещение UHF-антенны радиомодема предполагается на существующей радиобашне.</w:t>
      </w:r>
    </w:p>
    <w:p w14:paraId="4FB6EC28" w14:textId="7AB52DEB" w:rsidR="009E4F60" w:rsidRPr="008424B8" w:rsidRDefault="009E4F60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- На ПС 110 кВ «Дрисвяты», ПС 110 кВ «Шарковщина», ПС 110 кВ «Красносельцы», ПС 110 кВ «Опса» предполагается установка радиомодемов, работающих в диапазоне частот 403-445 МГц, конвертеров протокола «Сириус» в МЭК 60870-5-104 в проектируемые телекоммуникационные шкафы. Размещение UHF-антенн радиомодемов предполагается на существующих молниеприемниках.</w:t>
      </w:r>
    </w:p>
    <w:p w14:paraId="493A3670" w14:textId="39AD8E2F" w:rsidR="00663B23" w:rsidRPr="008424B8" w:rsidRDefault="0001467A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Работы по переводу сети в режим с резистивно-заземленной нейтралью на РП и ТП Браславского РЭС.</w:t>
      </w:r>
    </w:p>
    <w:p w14:paraId="615FBB93" w14:textId="77777777" w:rsidR="00DF1092" w:rsidRPr="008424B8" w:rsidRDefault="00DF1092" w:rsidP="007736AE">
      <w:pPr>
        <w:pStyle w:val="211"/>
        <w:ind w:firstLine="567"/>
        <w:rPr>
          <w:rFonts w:ascii="Times New Roman" w:hAnsi="Times New Roman" w:cs="Times New Roman"/>
          <w:b/>
        </w:rPr>
      </w:pPr>
      <w:bookmarkStart w:id="5" w:name="_Toc13640369"/>
      <w:bookmarkStart w:id="6" w:name="_Toc14849992"/>
      <w:bookmarkStart w:id="7" w:name="_Toc14946984"/>
      <w:bookmarkStart w:id="8" w:name="_Toc31897072"/>
      <w:bookmarkStart w:id="9" w:name="_Toc47435027"/>
    </w:p>
    <w:p w14:paraId="4438CDF8" w14:textId="194E0698" w:rsidR="007736AE" w:rsidRPr="008424B8" w:rsidRDefault="007736AE" w:rsidP="007736AE">
      <w:pPr>
        <w:pStyle w:val="211"/>
        <w:ind w:firstLine="567"/>
        <w:rPr>
          <w:rFonts w:ascii="Times New Roman" w:hAnsi="Times New Roman" w:cs="Times New Roman"/>
          <w:b/>
        </w:rPr>
      </w:pPr>
      <w:r w:rsidRPr="008424B8">
        <w:rPr>
          <w:rFonts w:ascii="Times New Roman" w:hAnsi="Times New Roman" w:cs="Times New Roman"/>
          <w:b/>
        </w:rPr>
        <w:t>Вариант 2</w:t>
      </w:r>
      <w:bookmarkEnd w:id="5"/>
      <w:bookmarkEnd w:id="6"/>
      <w:bookmarkEnd w:id="7"/>
      <w:bookmarkEnd w:id="8"/>
      <w:bookmarkEnd w:id="9"/>
      <w:r w:rsidRPr="008424B8">
        <w:rPr>
          <w:rFonts w:ascii="Times New Roman" w:hAnsi="Times New Roman" w:cs="Times New Roman"/>
          <w:b/>
        </w:rPr>
        <w:t>.</w:t>
      </w:r>
    </w:p>
    <w:p w14:paraId="407F0A26" w14:textId="77777777" w:rsidR="0001467A" w:rsidRPr="008424B8" w:rsidRDefault="0001467A" w:rsidP="007736AE">
      <w:pPr>
        <w:pStyle w:val="211"/>
        <w:ind w:firstLine="567"/>
        <w:rPr>
          <w:rFonts w:ascii="Times New Roman" w:hAnsi="Times New Roman" w:cs="Times New Roman"/>
          <w:b/>
        </w:rPr>
      </w:pPr>
    </w:p>
    <w:p w14:paraId="149C7084" w14:textId="231EE2A6" w:rsidR="0001467A" w:rsidRPr="008424B8" w:rsidRDefault="0001467A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8424B8">
        <w:rPr>
          <w:rFonts w:ascii="Times New Roman" w:hAnsi="Times New Roman" w:cs="Times New Roman"/>
          <w:bCs/>
        </w:rPr>
        <w:t>Реконструкция ПС 110/10 кВ «Браслав» по концепции цифровой подстанции открытого типа с расширением территории и необходимостью предоставления дополнительного земельного участка без проведения реконструкции ПС 110 кВ «Дрисвяты», ПС 110 кВ «Шарковщина», ПС 110 кВ «Красносельцы», ПС 110 кВ «Опса», ПС 110 кВ «Миоры».</w:t>
      </w:r>
    </w:p>
    <w:p w14:paraId="0A497CFF" w14:textId="77777777" w:rsidR="0001467A" w:rsidRPr="008424B8" w:rsidRDefault="0001467A" w:rsidP="007736AE">
      <w:pPr>
        <w:pStyle w:val="211"/>
        <w:ind w:firstLine="567"/>
        <w:rPr>
          <w:rFonts w:ascii="Times New Roman" w:hAnsi="Times New Roman" w:cs="Times New Roman"/>
          <w:bCs/>
        </w:rPr>
      </w:pPr>
    </w:p>
    <w:p w14:paraId="61F81A50" w14:textId="3430BBC2" w:rsidR="0001467A" w:rsidRDefault="0001467A" w:rsidP="007736AE">
      <w:pPr>
        <w:pStyle w:val="211"/>
        <w:ind w:firstLine="567"/>
        <w:rPr>
          <w:rFonts w:ascii="Times New Roman" w:hAnsi="Times New Roman" w:cs="Times New Roman"/>
          <w:bCs/>
        </w:rPr>
      </w:pPr>
      <w:r w:rsidRPr="00E03517">
        <w:rPr>
          <w:rFonts w:ascii="Times New Roman" w:hAnsi="Times New Roman" w:cs="Times New Roman"/>
          <w:b/>
        </w:rPr>
        <w:t>«Нулевая» альтернатива</w:t>
      </w:r>
      <w:r w:rsidRPr="008424B8">
        <w:rPr>
          <w:rFonts w:ascii="Times New Roman" w:hAnsi="Times New Roman" w:cs="Times New Roman"/>
          <w:bCs/>
        </w:rPr>
        <w:t xml:space="preserve"> – отказ от реализации проекта.</w:t>
      </w:r>
    </w:p>
    <w:p w14:paraId="4CE51406" w14:textId="77777777" w:rsidR="00B15DEE" w:rsidRDefault="00B15DEE" w:rsidP="007736AE">
      <w:pPr>
        <w:pStyle w:val="211"/>
        <w:ind w:firstLine="567"/>
        <w:rPr>
          <w:rFonts w:ascii="Times New Roman" w:hAnsi="Times New Roman" w:cs="Times New Roman"/>
          <w:bCs/>
        </w:rPr>
      </w:pPr>
    </w:p>
    <w:p w14:paraId="64D6C95E" w14:textId="77777777" w:rsidR="00B15DEE" w:rsidRDefault="00B15DEE" w:rsidP="007736AE">
      <w:pPr>
        <w:pStyle w:val="211"/>
        <w:ind w:firstLine="567"/>
        <w:rPr>
          <w:rFonts w:ascii="Times New Roman" w:hAnsi="Times New Roman" w:cs="Times New Roman"/>
          <w:bCs/>
        </w:rPr>
      </w:pPr>
    </w:p>
    <w:p w14:paraId="2AB4D19E" w14:textId="77777777" w:rsidR="00B15DEE" w:rsidRPr="00DF1092" w:rsidRDefault="00B15DEE" w:rsidP="007736AE">
      <w:pPr>
        <w:pStyle w:val="211"/>
        <w:ind w:firstLine="567"/>
        <w:rPr>
          <w:rFonts w:ascii="Times New Roman" w:hAnsi="Times New Roman" w:cs="Times New Roman"/>
          <w:bCs/>
        </w:rPr>
      </w:pPr>
    </w:p>
    <w:sectPr w:rsidR="00B15DEE" w:rsidRPr="00DF1092" w:rsidSect="003F21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F11D7"/>
    <w:multiLevelType w:val="hybridMultilevel"/>
    <w:tmpl w:val="2C38BDCC"/>
    <w:lvl w:ilvl="0" w:tplc="E9702A3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2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182" w:hanging="360"/>
      </w:pPr>
      <w:rPr>
        <w:rFonts w:ascii="Wingdings" w:hAnsi="Wingdings" w:hint="default"/>
      </w:rPr>
    </w:lvl>
  </w:abstractNum>
  <w:num w:numId="1" w16cid:durableId="174656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D6C"/>
    <w:rsid w:val="0001467A"/>
    <w:rsid w:val="00071713"/>
    <w:rsid w:val="000849F1"/>
    <w:rsid w:val="000854B6"/>
    <w:rsid w:val="000A0084"/>
    <w:rsid w:val="000A4918"/>
    <w:rsid w:val="000A7237"/>
    <w:rsid w:val="000E2720"/>
    <w:rsid w:val="000F52E6"/>
    <w:rsid w:val="00100815"/>
    <w:rsid w:val="001151DC"/>
    <w:rsid w:val="00190390"/>
    <w:rsid w:val="00190B5D"/>
    <w:rsid w:val="001A22C4"/>
    <w:rsid w:val="001B31B9"/>
    <w:rsid w:val="001D0C28"/>
    <w:rsid w:val="001D1042"/>
    <w:rsid w:val="001E10B1"/>
    <w:rsid w:val="001E2715"/>
    <w:rsid w:val="00213C6D"/>
    <w:rsid w:val="00257C53"/>
    <w:rsid w:val="00267A89"/>
    <w:rsid w:val="00284BC0"/>
    <w:rsid w:val="002C5573"/>
    <w:rsid w:val="002D0A3F"/>
    <w:rsid w:val="002D2719"/>
    <w:rsid w:val="0031745E"/>
    <w:rsid w:val="00323036"/>
    <w:rsid w:val="003246FC"/>
    <w:rsid w:val="0037441A"/>
    <w:rsid w:val="00384F94"/>
    <w:rsid w:val="0039754A"/>
    <w:rsid w:val="003B7001"/>
    <w:rsid w:val="003F2135"/>
    <w:rsid w:val="00434159"/>
    <w:rsid w:val="00442DBD"/>
    <w:rsid w:val="004578A4"/>
    <w:rsid w:val="00463E06"/>
    <w:rsid w:val="004723F8"/>
    <w:rsid w:val="00475613"/>
    <w:rsid w:val="004B1619"/>
    <w:rsid w:val="004D1DF6"/>
    <w:rsid w:val="004F6A70"/>
    <w:rsid w:val="005B1931"/>
    <w:rsid w:val="005C0247"/>
    <w:rsid w:val="005D6D18"/>
    <w:rsid w:val="005F0C28"/>
    <w:rsid w:val="00655687"/>
    <w:rsid w:val="0066386A"/>
    <w:rsid w:val="00663B23"/>
    <w:rsid w:val="00691BAB"/>
    <w:rsid w:val="006927FE"/>
    <w:rsid w:val="00692FC7"/>
    <w:rsid w:val="0069444C"/>
    <w:rsid w:val="006A4249"/>
    <w:rsid w:val="006B5A11"/>
    <w:rsid w:val="006C0430"/>
    <w:rsid w:val="006C4474"/>
    <w:rsid w:val="006F5C7C"/>
    <w:rsid w:val="007736AE"/>
    <w:rsid w:val="0079102F"/>
    <w:rsid w:val="007B1D2F"/>
    <w:rsid w:val="007D0288"/>
    <w:rsid w:val="007E5B5A"/>
    <w:rsid w:val="007F13F4"/>
    <w:rsid w:val="007F68B4"/>
    <w:rsid w:val="00802B8E"/>
    <w:rsid w:val="00837F9C"/>
    <w:rsid w:val="008424B8"/>
    <w:rsid w:val="0084688A"/>
    <w:rsid w:val="00850CAB"/>
    <w:rsid w:val="00881EF0"/>
    <w:rsid w:val="00892249"/>
    <w:rsid w:val="008C39E0"/>
    <w:rsid w:val="008E3A13"/>
    <w:rsid w:val="008E4831"/>
    <w:rsid w:val="008E69BB"/>
    <w:rsid w:val="00905E53"/>
    <w:rsid w:val="009203CC"/>
    <w:rsid w:val="009633B5"/>
    <w:rsid w:val="00984F57"/>
    <w:rsid w:val="009930C1"/>
    <w:rsid w:val="009C4581"/>
    <w:rsid w:val="009E25EE"/>
    <w:rsid w:val="009E4F60"/>
    <w:rsid w:val="009F4704"/>
    <w:rsid w:val="00A0447A"/>
    <w:rsid w:val="00A15685"/>
    <w:rsid w:val="00A3451E"/>
    <w:rsid w:val="00A533DB"/>
    <w:rsid w:val="00A81F82"/>
    <w:rsid w:val="00AD54ED"/>
    <w:rsid w:val="00AD6859"/>
    <w:rsid w:val="00B011FD"/>
    <w:rsid w:val="00B15DEE"/>
    <w:rsid w:val="00B16276"/>
    <w:rsid w:val="00B2340D"/>
    <w:rsid w:val="00B9065F"/>
    <w:rsid w:val="00BA0123"/>
    <w:rsid w:val="00BC1EEF"/>
    <w:rsid w:val="00BC23C3"/>
    <w:rsid w:val="00C16070"/>
    <w:rsid w:val="00C30555"/>
    <w:rsid w:val="00C311E0"/>
    <w:rsid w:val="00C53A55"/>
    <w:rsid w:val="00C75F2C"/>
    <w:rsid w:val="00C84127"/>
    <w:rsid w:val="00C91293"/>
    <w:rsid w:val="00CC345A"/>
    <w:rsid w:val="00D2058D"/>
    <w:rsid w:val="00D305EC"/>
    <w:rsid w:val="00D362DB"/>
    <w:rsid w:val="00D420EA"/>
    <w:rsid w:val="00D445D5"/>
    <w:rsid w:val="00D57D6C"/>
    <w:rsid w:val="00D704F6"/>
    <w:rsid w:val="00DA0CB3"/>
    <w:rsid w:val="00DB2E4B"/>
    <w:rsid w:val="00DF1092"/>
    <w:rsid w:val="00DF6E96"/>
    <w:rsid w:val="00E03517"/>
    <w:rsid w:val="00E073FE"/>
    <w:rsid w:val="00E84153"/>
    <w:rsid w:val="00EB4CDB"/>
    <w:rsid w:val="00ED53AE"/>
    <w:rsid w:val="00EE0360"/>
    <w:rsid w:val="00EE4F90"/>
    <w:rsid w:val="00F11929"/>
    <w:rsid w:val="00F47B06"/>
    <w:rsid w:val="00F65AEB"/>
    <w:rsid w:val="00F7529B"/>
    <w:rsid w:val="00F94465"/>
    <w:rsid w:val="00F94AD0"/>
    <w:rsid w:val="00FA31E0"/>
    <w:rsid w:val="00FB37B0"/>
    <w:rsid w:val="00FB6452"/>
    <w:rsid w:val="00FE120A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4794"/>
  <w15:docId w15:val="{25E354C6-C247-4FED-8461-6D589B7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link w:val="ad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e">
    <w:name w:val="Normal (Web)"/>
    <w:basedOn w:val="a"/>
    <w:uiPriority w:val="99"/>
    <w:rsid w:val="00D57D6C"/>
    <w:pPr>
      <w:spacing w:before="100" w:beforeAutospacing="1" w:after="100" w:afterAutospacing="1"/>
    </w:pPr>
    <w:rPr>
      <w:rFonts w:eastAsia="Times New Roman"/>
      <w:lang w:bidi="mr-IN"/>
    </w:rPr>
  </w:style>
  <w:style w:type="paragraph" w:styleId="af">
    <w:name w:val="Block Text"/>
    <w:basedOn w:val="a"/>
    <w:rsid w:val="006927FE"/>
    <w:pPr>
      <w:ind w:left="851" w:right="793"/>
      <w:jc w:val="both"/>
    </w:pPr>
    <w:rPr>
      <w:szCs w:val="20"/>
    </w:rPr>
  </w:style>
  <w:style w:type="paragraph" w:customStyle="1" w:styleId="21">
    <w:name w:val="2.1 Текст_Основной"/>
    <w:link w:val="210"/>
    <w:qFormat/>
    <w:rsid w:val="00802B8E"/>
    <w:pPr>
      <w:suppressAutoHyphens/>
      <w:spacing w:after="120"/>
      <w:ind w:firstLine="85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10">
    <w:name w:val="2.1 Текст_Основной Знак"/>
    <w:basedOn w:val="a0"/>
    <w:link w:val="21"/>
    <w:rsid w:val="00802B8E"/>
    <w:rPr>
      <w:rFonts w:ascii="Arial" w:eastAsia="Times New Roman" w:hAnsi="Arial" w:cs="Arial"/>
      <w:sz w:val="24"/>
      <w:szCs w:val="24"/>
    </w:rPr>
  </w:style>
  <w:style w:type="paragraph" w:customStyle="1" w:styleId="211">
    <w:name w:val="2.1 Текст Основной"/>
    <w:link w:val="212"/>
    <w:qFormat/>
    <w:rsid w:val="00802B8E"/>
    <w:pPr>
      <w:suppressAutoHyphens/>
      <w:ind w:firstLine="85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12">
    <w:name w:val="2.1 Текст Основной Знак"/>
    <w:link w:val="211"/>
    <w:rsid w:val="00802B8E"/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D362D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362DB"/>
    <w:rPr>
      <w:sz w:val="24"/>
      <w:szCs w:val="24"/>
    </w:rPr>
  </w:style>
  <w:style w:type="paragraph" w:customStyle="1" w:styleId="213">
    <w:name w:val="2.1 Текст"/>
    <w:basedOn w:val="31"/>
    <w:link w:val="214"/>
    <w:qFormat/>
    <w:rsid w:val="0037441A"/>
    <w:pPr>
      <w:spacing w:after="0"/>
      <w:ind w:left="0" w:firstLine="709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214">
    <w:name w:val="2.1 Текст Знак"/>
    <w:link w:val="213"/>
    <w:rsid w:val="0037441A"/>
    <w:rPr>
      <w:rFonts w:ascii="Arial" w:eastAsia="Times New Roman" w:hAnsi="Arial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3744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441A"/>
    <w:rPr>
      <w:sz w:val="16"/>
      <w:szCs w:val="16"/>
    </w:rPr>
  </w:style>
  <w:style w:type="character" w:customStyle="1" w:styleId="ad">
    <w:name w:val="Абзац списка Знак"/>
    <w:link w:val="ac"/>
    <w:rsid w:val="007736AE"/>
    <w:rPr>
      <w:rFonts w:eastAsia="Times New Roman"/>
      <w:sz w:val="24"/>
    </w:rPr>
  </w:style>
  <w:style w:type="character" w:styleId="af0">
    <w:name w:val="Hyperlink"/>
    <w:basedOn w:val="a0"/>
    <w:uiPriority w:val="99"/>
    <w:unhideWhenUsed/>
    <w:rsid w:val="00442DBD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43415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go@vitebsk.energo.by" TargetMode="External"/><Relationship Id="rId5" Type="http://schemas.openxmlformats.org/officeDocument/2006/relationships/hyperlink" Target="mailto:8&#160;(0212)&#160;49-23-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РУП «Белэнергосетьпроект»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Игорь Осипенко</cp:lastModifiedBy>
  <cp:revision>64</cp:revision>
  <cp:lastPrinted>2023-02-08T13:17:00Z</cp:lastPrinted>
  <dcterms:created xsi:type="dcterms:W3CDTF">2023-02-08T13:15:00Z</dcterms:created>
  <dcterms:modified xsi:type="dcterms:W3CDTF">2025-11-10T07:35:00Z</dcterms:modified>
</cp:coreProperties>
</file>